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5C" w:rsidRDefault="00FE4B5C" w:rsidP="00011292">
      <w:pPr>
        <w:spacing w:after="0" w:line="240" w:lineRule="auto"/>
        <w:jc w:val="both"/>
        <w:rPr>
          <w:rFonts w:ascii="Arial" w:hAnsi="Arial" w:cs="Arial"/>
          <w:b/>
          <w:bCs/>
          <w:sz w:val="18"/>
          <w:szCs w:val="18"/>
        </w:rPr>
      </w:pPr>
      <w:r>
        <w:rPr>
          <w:rFonts w:ascii="Arial" w:hAnsi="Arial" w:cs="Arial"/>
          <w:b/>
          <w:bCs/>
          <w:sz w:val="18"/>
          <w:szCs w:val="18"/>
        </w:rPr>
        <w:t>INTERIM FINANCIAL REPORT FOR THE FOURTH QUARTER ENDED 31DECEMBER 2010</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ind w:left="900" w:hanging="900"/>
        <w:jc w:val="both"/>
        <w:rPr>
          <w:rFonts w:ascii="Arial" w:hAnsi="Arial" w:cs="Arial"/>
          <w:b/>
          <w:bCs/>
          <w:sz w:val="18"/>
          <w:szCs w:val="18"/>
        </w:rPr>
      </w:pPr>
      <w:r>
        <w:rPr>
          <w:rFonts w:ascii="Arial" w:hAnsi="Arial" w:cs="Arial"/>
          <w:b/>
          <w:bCs/>
          <w:sz w:val="18"/>
          <w:szCs w:val="18"/>
        </w:rPr>
        <w:t>PART A –</w:t>
      </w:r>
      <w:r>
        <w:rPr>
          <w:rFonts w:ascii="Arial" w:hAnsi="Arial" w:cs="Arial"/>
          <w:b/>
          <w:bCs/>
          <w:sz w:val="18"/>
          <w:szCs w:val="18"/>
        </w:rPr>
        <w:tab/>
        <w:t>EXPLANATORY NOTES PURSUANT TO THE FINANCIAL REPORTING STANDARDS 134 (FRS134): INTERIM FINANCIAL REPORTING</w:t>
      </w:r>
    </w:p>
    <w:p w:rsidR="00FE4B5C" w:rsidRPr="00A56864" w:rsidRDefault="00FE4B5C" w:rsidP="00011292">
      <w:pPr>
        <w:spacing w:after="0" w:line="240" w:lineRule="auto"/>
        <w:jc w:val="both"/>
        <w:rPr>
          <w:rFonts w:ascii="Arial" w:hAnsi="Arial" w:cs="Arial"/>
          <w:b/>
          <w:bCs/>
          <w:sz w:val="18"/>
          <w:szCs w:val="18"/>
        </w:rPr>
      </w:pPr>
    </w:p>
    <w:p w:rsidR="00FE4B5C" w:rsidRPr="00A56864" w:rsidRDefault="00FE4B5C" w:rsidP="00011292">
      <w:pPr>
        <w:spacing w:after="0" w:line="240" w:lineRule="auto"/>
        <w:jc w:val="both"/>
        <w:rPr>
          <w:rFonts w:ascii="Arial" w:hAnsi="Arial" w:cs="Arial"/>
          <w:b/>
          <w:bCs/>
          <w:sz w:val="18"/>
          <w:szCs w:val="18"/>
        </w:rPr>
      </w:pPr>
      <w:r>
        <w:rPr>
          <w:rFonts w:ascii="Arial" w:hAnsi="Arial" w:cs="Arial"/>
          <w:b/>
          <w:bCs/>
          <w:sz w:val="18"/>
          <w:szCs w:val="18"/>
        </w:rPr>
        <w:t xml:space="preserve">A1. </w:t>
      </w:r>
      <w:r>
        <w:rPr>
          <w:rFonts w:ascii="Arial" w:hAnsi="Arial" w:cs="Arial"/>
          <w:b/>
          <w:bCs/>
          <w:sz w:val="18"/>
          <w:szCs w:val="18"/>
        </w:rPr>
        <w:tab/>
      </w:r>
      <w:r w:rsidRPr="00A56864">
        <w:rPr>
          <w:rFonts w:ascii="Arial" w:hAnsi="Arial" w:cs="Arial"/>
          <w:b/>
          <w:bCs/>
          <w:sz w:val="18"/>
          <w:szCs w:val="18"/>
        </w:rPr>
        <w:t>Basis of preparation</w:t>
      </w:r>
    </w:p>
    <w:p w:rsidR="00FE4B5C" w:rsidRPr="00C1771A" w:rsidRDefault="00FE4B5C" w:rsidP="00011292">
      <w:pPr>
        <w:spacing w:after="0" w:line="240" w:lineRule="auto"/>
        <w:jc w:val="both"/>
        <w:rPr>
          <w:rFonts w:ascii="Arial" w:hAnsi="Arial" w:cs="Arial"/>
          <w:sz w:val="18"/>
          <w:szCs w:val="18"/>
        </w:rPr>
      </w:pPr>
    </w:p>
    <w:p w:rsidR="00FE4B5C" w:rsidRPr="00DF3A10" w:rsidRDefault="00FE4B5C" w:rsidP="00011292">
      <w:pPr>
        <w:spacing w:after="0" w:line="240" w:lineRule="auto"/>
        <w:ind w:left="720"/>
        <w:jc w:val="both"/>
        <w:rPr>
          <w:rFonts w:ascii="Arial" w:hAnsi="Arial" w:cs="Arial"/>
          <w:b/>
          <w:bCs/>
          <w:sz w:val="18"/>
          <w:szCs w:val="18"/>
        </w:rPr>
      </w:pPr>
      <w:r w:rsidRPr="00DF3A10">
        <w:rPr>
          <w:rFonts w:ascii="Arial" w:hAnsi="Arial" w:cs="Arial"/>
          <w:color w:val="000000"/>
          <w:sz w:val="18"/>
          <w:szCs w:val="18"/>
        </w:rPr>
        <w:t xml:space="preserve">The interim financial report is unaudited and has been prepared in accordance with Financial Reporting Standard 134:  Interim Financial Reporting and paragraph 9.22 and Appendix 9B of the </w:t>
      </w:r>
      <w:r>
        <w:rPr>
          <w:rFonts w:ascii="Arial" w:hAnsi="Arial" w:cs="Arial"/>
          <w:color w:val="000000"/>
          <w:sz w:val="18"/>
          <w:szCs w:val="18"/>
        </w:rPr>
        <w:t>L</w:t>
      </w:r>
      <w:r w:rsidRPr="00DF3A10">
        <w:rPr>
          <w:rFonts w:ascii="Arial" w:hAnsi="Arial" w:cs="Arial"/>
          <w:color w:val="000000"/>
          <w:sz w:val="18"/>
          <w:szCs w:val="18"/>
        </w:rPr>
        <w:t xml:space="preserve">isting </w:t>
      </w:r>
      <w:r>
        <w:rPr>
          <w:rFonts w:ascii="Arial" w:hAnsi="Arial" w:cs="Arial"/>
          <w:color w:val="000000"/>
          <w:sz w:val="18"/>
          <w:szCs w:val="18"/>
        </w:rPr>
        <w:t>R</w:t>
      </w:r>
      <w:r w:rsidRPr="00DF3A10">
        <w:rPr>
          <w:rFonts w:ascii="Arial" w:hAnsi="Arial" w:cs="Arial"/>
          <w:color w:val="000000"/>
          <w:sz w:val="18"/>
          <w:szCs w:val="18"/>
        </w:rPr>
        <w:t xml:space="preserve">equirement of Bursa Securities Malaysia Berhad, and should be read in conjunction with the </w:t>
      </w:r>
      <w:r w:rsidRPr="00DF3A10">
        <w:rPr>
          <w:rFonts w:ascii="Arial" w:hAnsi="Arial" w:cs="Arial"/>
          <w:sz w:val="18"/>
          <w:szCs w:val="18"/>
          <w:lang w:val="en-GB"/>
        </w:rPr>
        <w:t>Proforma Consolidated Financial Information and Accountants’ Report for the eight (8) months period ended 31 August 2010 as disclosed in the Prospectus dated 30 December 2010</w:t>
      </w:r>
      <w:r w:rsidRPr="00DF3A10">
        <w:rPr>
          <w:rFonts w:ascii="Arial" w:hAnsi="Arial" w:cs="Arial"/>
          <w:color w:val="000000"/>
          <w:sz w:val="18"/>
          <w:szCs w:val="18"/>
        </w:rPr>
        <w:t xml:space="preserve"> and the accompanying explanatory notes attached to this unaudited interim financial report. </w:t>
      </w:r>
    </w:p>
    <w:p w:rsidR="00FE4B5C" w:rsidRPr="00DF3A10" w:rsidRDefault="00FE4B5C" w:rsidP="00011292">
      <w:pPr>
        <w:spacing w:after="0" w:line="240" w:lineRule="auto"/>
        <w:jc w:val="both"/>
        <w:rPr>
          <w:rFonts w:ascii="Arial" w:hAnsi="Arial" w:cs="Arial"/>
          <w:b/>
          <w:bCs/>
          <w:sz w:val="18"/>
          <w:szCs w:val="18"/>
        </w:rPr>
      </w:pPr>
    </w:p>
    <w:p w:rsidR="00FE4B5C" w:rsidRPr="00DF3A10" w:rsidRDefault="00FE4B5C" w:rsidP="00011292">
      <w:pPr>
        <w:spacing w:after="0" w:line="240" w:lineRule="auto"/>
        <w:jc w:val="both"/>
        <w:rPr>
          <w:rFonts w:ascii="Arial" w:hAnsi="Arial" w:cs="Arial"/>
          <w:b/>
          <w:bCs/>
          <w:sz w:val="18"/>
          <w:szCs w:val="18"/>
        </w:rPr>
      </w:pPr>
    </w:p>
    <w:p w:rsidR="00FE4B5C" w:rsidRPr="00DF3A10" w:rsidRDefault="00FE4B5C" w:rsidP="00011292">
      <w:pPr>
        <w:spacing w:after="0" w:line="240" w:lineRule="auto"/>
        <w:jc w:val="both"/>
        <w:rPr>
          <w:rFonts w:ascii="Arial" w:hAnsi="Arial" w:cs="Arial"/>
          <w:b/>
          <w:bCs/>
          <w:sz w:val="18"/>
          <w:szCs w:val="18"/>
        </w:rPr>
      </w:pPr>
      <w:r w:rsidRPr="00DF3A10">
        <w:rPr>
          <w:rFonts w:ascii="Arial" w:hAnsi="Arial" w:cs="Arial"/>
          <w:b/>
          <w:bCs/>
          <w:sz w:val="18"/>
          <w:szCs w:val="18"/>
        </w:rPr>
        <w:t>A2.</w:t>
      </w:r>
      <w:r w:rsidRPr="00DF3A10">
        <w:rPr>
          <w:rFonts w:ascii="Arial" w:hAnsi="Arial" w:cs="Arial"/>
          <w:b/>
          <w:bCs/>
          <w:sz w:val="18"/>
          <w:szCs w:val="18"/>
        </w:rPr>
        <w:tab/>
        <w:t>Summary of significant accounting policies</w:t>
      </w:r>
    </w:p>
    <w:p w:rsidR="00FE4B5C" w:rsidRPr="00DF3A10" w:rsidRDefault="00FE4B5C" w:rsidP="00011292">
      <w:pPr>
        <w:spacing w:after="0" w:line="240" w:lineRule="auto"/>
        <w:jc w:val="both"/>
        <w:rPr>
          <w:rFonts w:ascii="Arial" w:hAnsi="Arial" w:cs="Arial"/>
          <w:sz w:val="18"/>
          <w:szCs w:val="18"/>
          <w:lang w:val="en-GB"/>
        </w:rPr>
      </w:pPr>
    </w:p>
    <w:p w:rsidR="00FE4B5C" w:rsidRDefault="00FE4B5C" w:rsidP="00011292">
      <w:pPr>
        <w:spacing w:after="0" w:line="240" w:lineRule="auto"/>
        <w:ind w:left="720"/>
        <w:jc w:val="both"/>
        <w:rPr>
          <w:rFonts w:ascii="Arial" w:hAnsi="Arial" w:cs="Arial"/>
          <w:sz w:val="18"/>
          <w:szCs w:val="18"/>
        </w:rPr>
      </w:pPr>
      <w:r w:rsidRPr="00DF3A10">
        <w:rPr>
          <w:rFonts w:ascii="Arial" w:hAnsi="Arial" w:cs="Arial"/>
          <w:sz w:val="18"/>
          <w:szCs w:val="18"/>
          <w:lang w:val="en-GB"/>
        </w:rPr>
        <w:t>The accounting policies adopted are consistent with those adopted in the Proforma Consolidated Financial Information and Accountants’ Report for the eight (8) months period ended 31 August 2010 as disclosed in the Prospectus dated 30 December 2010.</w:t>
      </w:r>
    </w:p>
    <w:p w:rsidR="00FE4B5C" w:rsidRDefault="00FE4B5C" w:rsidP="00011292">
      <w:pPr>
        <w:spacing w:after="0" w:line="240" w:lineRule="auto"/>
        <w:jc w:val="both"/>
        <w:rPr>
          <w:rFonts w:ascii="Arial" w:hAnsi="Arial" w:cs="Arial"/>
          <w:sz w:val="18"/>
          <w:szCs w:val="18"/>
        </w:rPr>
      </w:pPr>
    </w:p>
    <w:p w:rsidR="00FE4B5C" w:rsidRPr="00A77B7E" w:rsidRDefault="00FE4B5C" w:rsidP="00011292">
      <w:pPr>
        <w:pStyle w:val="NormalWeb"/>
        <w:spacing w:before="0" w:beforeAutospacing="0" w:after="0" w:afterAutospacing="0"/>
        <w:ind w:left="720"/>
        <w:jc w:val="both"/>
        <w:rPr>
          <w:sz w:val="18"/>
          <w:szCs w:val="18"/>
        </w:rPr>
      </w:pPr>
      <w:r w:rsidRPr="00A77B7E">
        <w:rPr>
          <w:rFonts w:ascii="Arial" w:hAnsi="Arial" w:cs="Arial"/>
          <w:sz w:val="18"/>
          <w:szCs w:val="18"/>
        </w:rPr>
        <w:t>The Group has not adopted th</w:t>
      </w:r>
      <w:r>
        <w:rPr>
          <w:rFonts w:ascii="Arial" w:hAnsi="Arial" w:cs="Arial"/>
          <w:sz w:val="18"/>
          <w:szCs w:val="18"/>
        </w:rPr>
        <w:t xml:space="preserve">e following standards, amendments </w:t>
      </w:r>
      <w:r w:rsidRPr="00A77B7E">
        <w:rPr>
          <w:rFonts w:ascii="Arial" w:hAnsi="Arial" w:cs="Arial"/>
          <w:sz w:val="18"/>
          <w:szCs w:val="18"/>
        </w:rPr>
        <w:t>and interpretations that have been issued but not yet effective:</w:t>
      </w:r>
    </w:p>
    <w:p w:rsidR="00FE4B5C" w:rsidRDefault="00FE4B5C" w:rsidP="00011292">
      <w:pPr>
        <w:spacing w:after="0" w:line="240" w:lineRule="auto"/>
        <w:jc w:val="both"/>
        <w:rPr>
          <w:rFonts w:ascii="Arial" w:hAnsi="Arial" w:cs="Arial"/>
          <w:sz w:val="18"/>
          <w:szCs w:val="18"/>
        </w:rPr>
      </w:pPr>
    </w:p>
    <w:p w:rsidR="00FE4B5C" w:rsidRPr="00A77B7E" w:rsidRDefault="00FE4B5C" w:rsidP="00011292">
      <w:pPr>
        <w:spacing w:after="0" w:line="240" w:lineRule="auto"/>
        <w:ind w:firstLine="720"/>
        <w:jc w:val="both"/>
        <w:rPr>
          <w:rFonts w:ascii="Arial" w:hAnsi="Arial" w:cs="Arial"/>
          <w:b/>
          <w:bCs/>
          <w:sz w:val="18"/>
          <w:szCs w:val="18"/>
        </w:rPr>
      </w:pPr>
      <w:r>
        <w:rPr>
          <w:rFonts w:ascii="Arial" w:hAnsi="Arial" w:cs="Arial"/>
          <w:b/>
          <w:bCs/>
          <w:sz w:val="18"/>
          <w:szCs w:val="18"/>
        </w:rPr>
        <w:t>(i)</w:t>
      </w:r>
      <w:r>
        <w:rPr>
          <w:rFonts w:ascii="Arial" w:hAnsi="Arial" w:cs="Arial"/>
          <w:b/>
          <w:bCs/>
          <w:sz w:val="18"/>
          <w:szCs w:val="18"/>
        </w:rPr>
        <w:tab/>
      </w:r>
      <w:r w:rsidRPr="00A77B7E">
        <w:rPr>
          <w:rFonts w:ascii="Arial" w:hAnsi="Arial" w:cs="Arial"/>
          <w:b/>
          <w:bCs/>
          <w:sz w:val="18"/>
          <w:szCs w:val="18"/>
        </w:rPr>
        <w:t>Effective for financial periods beginning on or after 1 March 2010</w:t>
      </w:r>
    </w:p>
    <w:p w:rsidR="00FE4B5C" w:rsidRDefault="00FE4B5C" w:rsidP="00011292">
      <w:pPr>
        <w:spacing w:after="0" w:line="240" w:lineRule="auto"/>
        <w:ind w:left="720" w:firstLine="720"/>
        <w:jc w:val="both"/>
        <w:rPr>
          <w:rFonts w:ascii="Arial" w:hAnsi="Arial" w:cs="Arial"/>
          <w:b/>
          <w:bCs/>
          <w:sz w:val="18"/>
          <w:szCs w:val="18"/>
        </w:rPr>
      </w:pPr>
      <w:r w:rsidRPr="00A77B7E">
        <w:rPr>
          <w:rFonts w:ascii="Arial" w:hAnsi="Arial" w:cs="Arial"/>
          <w:sz w:val="18"/>
          <w:szCs w:val="18"/>
        </w:rPr>
        <w:t>Amendments to FRS 132: Classification of Rights Issues</w:t>
      </w:r>
    </w:p>
    <w:p w:rsidR="00FE4B5C" w:rsidRDefault="00FE4B5C" w:rsidP="00011292">
      <w:pPr>
        <w:spacing w:after="0" w:line="240" w:lineRule="auto"/>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p>
    <w:p w:rsidR="00FE4B5C" w:rsidRPr="00A77B7E" w:rsidRDefault="00FE4B5C" w:rsidP="00011292">
      <w:pPr>
        <w:spacing w:after="0" w:line="240" w:lineRule="auto"/>
        <w:ind w:firstLine="720"/>
        <w:jc w:val="both"/>
        <w:rPr>
          <w:rFonts w:ascii="Arial" w:hAnsi="Arial" w:cs="Arial"/>
          <w:b/>
          <w:bCs/>
          <w:sz w:val="18"/>
          <w:szCs w:val="18"/>
        </w:rPr>
      </w:pPr>
      <w:r>
        <w:rPr>
          <w:rFonts w:ascii="Arial" w:hAnsi="Arial" w:cs="Arial"/>
          <w:b/>
          <w:bCs/>
          <w:sz w:val="18"/>
          <w:szCs w:val="18"/>
        </w:rPr>
        <w:t>(ii)</w:t>
      </w:r>
      <w:r>
        <w:rPr>
          <w:rFonts w:ascii="Arial" w:hAnsi="Arial" w:cs="Arial"/>
          <w:b/>
          <w:bCs/>
          <w:sz w:val="18"/>
          <w:szCs w:val="18"/>
        </w:rPr>
        <w:tab/>
      </w:r>
      <w:r w:rsidRPr="00A77B7E">
        <w:rPr>
          <w:rFonts w:ascii="Arial" w:hAnsi="Arial" w:cs="Arial"/>
          <w:b/>
          <w:bCs/>
          <w:sz w:val="18"/>
          <w:szCs w:val="18"/>
        </w:rPr>
        <w:t>Effective for financial periods beginning on or after 1 July 2010</w:t>
      </w:r>
    </w:p>
    <w:p w:rsidR="00FE4B5C" w:rsidRPr="00A77B7E" w:rsidRDefault="00FE4B5C" w:rsidP="00011292">
      <w:pPr>
        <w:spacing w:after="0" w:line="240" w:lineRule="auto"/>
        <w:ind w:left="720" w:firstLine="720"/>
        <w:jc w:val="both"/>
        <w:rPr>
          <w:rFonts w:ascii="Arial" w:hAnsi="Arial" w:cs="Arial"/>
          <w:sz w:val="18"/>
          <w:szCs w:val="18"/>
        </w:rPr>
      </w:pPr>
      <w:r w:rsidRPr="00A77B7E">
        <w:rPr>
          <w:rFonts w:ascii="Arial" w:hAnsi="Arial" w:cs="Arial"/>
          <w:sz w:val="18"/>
          <w:szCs w:val="18"/>
        </w:rPr>
        <w:t>FRS 1: First-time Adoption of Financial Reporting Standards</w:t>
      </w:r>
    </w:p>
    <w:p w:rsidR="00FE4B5C" w:rsidRDefault="00FE4B5C" w:rsidP="000C7057">
      <w:pPr>
        <w:spacing w:after="0" w:line="240" w:lineRule="auto"/>
        <w:ind w:left="720" w:firstLine="720"/>
        <w:rPr>
          <w:rFonts w:ascii="Arial" w:hAnsi="Arial" w:cs="Arial"/>
          <w:sz w:val="18"/>
          <w:szCs w:val="18"/>
        </w:rPr>
      </w:pPr>
      <w:r w:rsidRPr="00A77B7E">
        <w:rPr>
          <w:rFonts w:ascii="Arial" w:hAnsi="Arial" w:cs="Arial"/>
          <w:sz w:val="18"/>
          <w:szCs w:val="18"/>
        </w:rPr>
        <w:t>FRS 3: Business Combinations (revised)</w:t>
      </w:r>
    </w:p>
    <w:p w:rsidR="00FE4B5C" w:rsidRPr="00A77B7E" w:rsidRDefault="00FE4B5C" w:rsidP="00011292">
      <w:pPr>
        <w:spacing w:after="0" w:line="240" w:lineRule="auto"/>
        <w:ind w:left="720" w:firstLine="720"/>
        <w:jc w:val="both"/>
        <w:rPr>
          <w:rFonts w:ascii="Arial" w:hAnsi="Arial" w:cs="Arial"/>
          <w:sz w:val="18"/>
          <w:szCs w:val="18"/>
        </w:rPr>
      </w:pPr>
      <w:r w:rsidRPr="00A77B7E">
        <w:rPr>
          <w:rFonts w:ascii="Arial" w:hAnsi="Arial" w:cs="Arial"/>
          <w:sz w:val="18"/>
          <w:szCs w:val="18"/>
        </w:rPr>
        <w:t>Amendments to FRS 2: Share-based Payment</w:t>
      </w:r>
    </w:p>
    <w:p w:rsidR="00FE4B5C" w:rsidRPr="00A77B7E" w:rsidRDefault="00FE4B5C" w:rsidP="00011292">
      <w:pPr>
        <w:spacing w:after="0" w:line="240" w:lineRule="auto"/>
        <w:ind w:left="720" w:firstLine="720"/>
        <w:jc w:val="both"/>
        <w:rPr>
          <w:rFonts w:ascii="Arial" w:hAnsi="Arial" w:cs="Arial"/>
          <w:sz w:val="18"/>
          <w:szCs w:val="18"/>
        </w:rPr>
      </w:pPr>
      <w:r w:rsidRPr="00A77B7E">
        <w:rPr>
          <w:rFonts w:ascii="Arial" w:hAnsi="Arial" w:cs="Arial"/>
          <w:sz w:val="18"/>
          <w:szCs w:val="18"/>
        </w:rPr>
        <w:t>Amendments to FRS 5: Non-current Assets Held for Sale and Discontinued Operations</w:t>
      </w:r>
    </w:p>
    <w:p w:rsidR="00FE4B5C" w:rsidRDefault="00FE4B5C" w:rsidP="000C7057">
      <w:pPr>
        <w:spacing w:after="0" w:line="240" w:lineRule="auto"/>
        <w:ind w:left="720" w:firstLine="720"/>
        <w:rPr>
          <w:rFonts w:ascii="Arial" w:hAnsi="Arial" w:cs="Arial"/>
          <w:sz w:val="18"/>
          <w:szCs w:val="18"/>
        </w:rPr>
      </w:pPr>
      <w:r w:rsidRPr="00A77B7E">
        <w:rPr>
          <w:rFonts w:ascii="Arial" w:hAnsi="Arial" w:cs="Arial"/>
          <w:sz w:val="18"/>
          <w:szCs w:val="18"/>
        </w:rPr>
        <w:t>Amendments to FRS 127: Consolidated and Separate Financial Statements</w:t>
      </w:r>
    </w:p>
    <w:p w:rsidR="00FE4B5C" w:rsidRPr="00A77B7E" w:rsidRDefault="00FE4B5C" w:rsidP="00011292">
      <w:pPr>
        <w:spacing w:after="0" w:line="240" w:lineRule="auto"/>
        <w:ind w:left="720" w:firstLine="720"/>
        <w:jc w:val="both"/>
        <w:rPr>
          <w:rFonts w:ascii="Arial" w:hAnsi="Arial" w:cs="Arial"/>
          <w:sz w:val="18"/>
          <w:szCs w:val="18"/>
        </w:rPr>
      </w:pPr>
      <w:r w:rsidRPr="00A77B7E">
        <w:rPr>
          <w:rFonts w:ascii="Arial" w:hAnsi="Arial" w:cs="Arial"/>
          <w:sz w:val="18"/>
          <w:szCs w:val="18"/>
        </w:rPr>
        <w:t>Amendments to FRS 138: Intangible Assets</w:t>
      </w:r>
    </w:p>
    <w:p w:rsidR="00FE4B5C" w:rsidRDefault="00FE4B5C" w:rsidP="00011292">
      <w:pPr>
        <w:spacing w:after="0" w:line="240" w:lineRule="auto"/>
        <w:ind w:left="720" w:firstLine="720"/>
        <w:jc w:val="both"/>
        <w:rPr>
          <w:rFonts w:ascii="Arial" w:hAnsi="Arial" w:cs="Arial"/>
          <w:sz w:val="18"/>
          <w:szCs w:val="18"/>
        </w:rPr>
      </w:pPr>
      <w:r w:rsidRPr="00A77B7E">
        <w:rPr>
          <w:rFonts w:ascii="Arial" w:hAnsi="Arial" w:cs="Arial"/>
          <w:sz w:val="18"/>
          <w:szCs w:val="18"/>
        </w:rPr>
        <w:t>Amendments to IC Interpretation 9: Reassessment of Embedded Derivatives</w:t>
      </w:r>
    </w:p>
    <w:p w:rsidR="00FE4B5C" w:rsidRDefault="00FE4B5C" w:rsidP="00011292">
      <w:pPr>
        <w:spacing w:after="0" w:line="240" w:lineRule="auto"/>
        <w:ind w:left="720" w:firstLine="720"/>
        <w:jc w:val="both"/>
        <w:rPr>
          <w:rFonts w:ascii="Arial" w:hAnsi="Arial" w:cs="Arial"/>
          <w:sz w:val="18"/>
          <w:szCs w:val="18"/>
        </w:rPr>
      </w:pPr>
      <w:r w:rsidRPr="00A77B7E">
        <w:rPr>
          <w:rFonts w:ascii="Arial" w:hAnsi="Arial" w:cs="Arial"/>
          <w:sz w:val="18"/>
          <w:szCs w:val="18"/>
        </w:rPr>
        <w:t>IC Interpretation 12: Service Con</w:t>
      </w:r>
      <w:r>
        <w:rPr>
          <w:rFonts w:ascii="Arial" w:hAnsi="Arial" w:cs="Arial"/>
          <w:sz w:val="18"/>
          <w:szCs w:val="18"/>
        </w:rPr>
        <w:t>c</w:t>
      </w:r>
      <w:r w:rsidRPr="00A77B7E">
        <w:rPr>
          <w:rFonts w:ascii="Arial" w:hAnsi="Arial" w:cs="Arial"/>
          <w:sz w:val="18"/>
          <w:szCs w:val="18"/>
        </w:rPr>
        <w:t>ession Agreements</w:t>
      </w:r>
    </w:p>
    <w:p w:rsidR="00FE4B5C" w:rsidRDefault="00FE4B5C" w:rsidP="00011292">
      <w:pPr>
        <w:spacing w:after="0" w:line="240" w:lineRule="auto"/>
        <w:ind w:left="720" w:firstLine="720"/>
        <w:jc w:val="both"/>
        <w:rPr>
          <w:rFonts w:ascii="Arial" w:hAnsi="Arial" w:cs="Arial"/>
          <w:sz w:val="18"/>
          <w:szCs w:val="18"/>
        </w:rPr>
      </w:pPr>
      <w:r w:rsidRPr="00A77B7E">
        <w:rPr>
          <w:rFonts w:ascii="Arial" w:hAnsi="Arial" w:cs="Arial"/>
          <w:sz w:val="18"/>
          <w:szCs w:val="18"/>
        </w:rPr>
        <w:t>IC Interpretation 16: Hedges of a Net Investment in a Foreign Operation</w:t>
      </w:r>
    </w:p>
    <w:p w:rsidR="00FE4B5C" w:rsidRDefault="00FE4B5C" w:rsidP="00011292">
      <w:pPr>
        <w:spacing w:after="0" w:line="240" w:lineRule="auto"/>
        <w:ind w:left="720" w:firstLine="720"/>
        <w:jc w:val="both"/>
        <w:rPr>
          <w:rFonts w:ascii="Arial" w:hAnsi="Arial" w:cs="Arial"/>
          <w:sz w:val="18"/>
          <w:szCs w:val="18"/>
        </w:rPr>
      </w:pPr>
      <w:r w:rsidRPr="007E7E37">
        <w:rPr>
          <w:rFonts w:ascii="Arial" w:hAnsi="Arial" w:cs="Arial"/>
          <w:sz w:val="18"/>
          <w:szCs w:val="18"/>
        </w:rPr>
        <w:t>IC Interpretation 17: Distributions of Non-cash Assets to Owners</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firstLine="720"/>
        <w:jc w:val="both"/>
        <w:rPr>
          <w:rFonts w:ascii="Arial" w:hAnsi="Arial" w:cs="Arial"/>
          <w:b/>
          <w:bCs/>
          <w:sz w:val="18"/>
          <w:szCs w:val="18"/>
        </w:rPr>
      </w:pPr>
      <w:r>
        <w:rPr>
          <w:rFonts w:ascii="Arial" w:hAnsi="Arial" w:cs="Arial"/>
          <w:b/>
          <w:bCs/>
          <w:sz w:val="18"/>
          <w:szCs w:val="18"/>
        </w:rPr>
        <w:t xml:space="preserve">(iii) </w:t>
      </w:r>
      <w:r>
        <w:rPr>
          <w:rFonts w:ascii="Arial" w:hAnsi="Arial" w:cs="Arial"/>
          <w:b/>
          <w:bCs/>
          <w:sz w:val="18"/>
          <w:szCs w:val="18"/>
        </w:rPr>
        <w:tab/>
      </w:r>
      <w:r w:rsidRPr="00B51258">
        <w:rPr>
          <w:rFonts w:ascii="Arial" w:hAnsi="Arial" w:cs="Arial"/>
          <w:b/>
          <w:bCs/>
          <w:sz w:val="18"/>
          <w:szCs w:val="18"/>
        </w:rPr>
        <w:t>Effective for financial periods beginning on or after 1 January 2011</w:t>
      </w:r>
    </w:p>
    <w:p w:rsidR="00FE4B5C" w:rsidRDefault="00FE4B5C" w:rsidP="00011292">
      <w:pPr>
        <w:spacing w:after="0" w:line="240" w:lineRule="auto"/>
        <w:ind w:left="1440"/>
        <w:jc w:val="both"/>
        <w:rPr>
          <w:rFonts w:ascii="Arial" w:hAnsi="Arial" w:cs="Arial"/>
          <w:sz w:val="18"/>
          <w:szCs w:val="18"/>
        </w:rPr>
      </w:pPr>
      <w:r w:rsidRPr="00B51258">
        <w:rPr>
          <w:rFonts w:ascii="Arial" w:hAnsi="Arial" w:cs="Arial"/>
          <w:sz w:val="18"/>
          <w:szCs w:val="18"/>
        </w:rPr>
        <w:t>Amendments to FRS 1: Limited Exemption from Comparative FRS 7 Disclosure forFirst-time Adopters</w:t>
      </w:r>
    </w:p>
    <w:p w:rsidR="00FE4B5C" w:rsidRDefault="00FE4B5C" w:rsidP="00011292">
      <w:pPr>
        <w:spacing w:after="0" w:line="240" w:lineRule="auto"/>
        <w:ind w:left="720" w:firstLine="720"/>
        <w:jc w:val="both"/>
        <w:rPr>
          <w:rFonts w:ascii="Arial" w:hAnsi="Arial" w:cs="Arial"/>
          <w:sz w:val="18"/>
          <w:szCs w:val="18"/>
        </w:rPr>
      </w:pPr>
      <w:r w:rsidRPr="00B51258">
        <w:rPr>
          <w:rFonts w:ascii="Arial" w:hAnsi="Arial" w:cs="Arial"/>
          <w:sz w:val="18"/>
          <w:szCs w:val="18"/>
        </w:rPr>
        <w:t>Amendments to FRS 1: Additional Exemptions for First-time Adopters</w:t>
      </w:r>
    </w:p>
    <w:p w:rsidR="00FE4B5C" w:rsidRDefault="00FE4B5C" w:rsidP="00011292">
      <w:pPr>
        <w:spacing w:after="0" w:line="240" w:lineRule="auto"/>
        <w:ind w:left="720" w:firstLine="720"/>
        <w:jc w:val="both"/>
        <w:rPr>
          <w:rFonts w:ascii="Arial" w:hAnsi="Arial" w:cs="Arial"/>
          <w:sz w:val="18"/>
          <w:szCs w:val="18"/>
        </w:rPr>
      </w:pPr>
      <w:r w:rsidRPr="00B51258">
        <w:rPr>
          <w:rFonts w:ascii="Arial" w:hAnsi="Arial" w:cs="Arial"/>
          <w:sz w:val="18"/>
          <w:szCs w:val="18"/>
        </w:rPr>
        <w:t>Amendments to FRS 7: Improving Disclosures about Financial Instruments</w:t>
      </w:r>
    </w:p>
    <w:p w:rsidR="00FE4B5C" w:rsidRDefault="00FE4B5C" w:rsidP="00011292">
      <w:pPr>
        <w:spacing w:after="0" w:line="240" w:lineRule="auto"/>
        <w:ind w:left="720" w:firstLine="720"/>
        <w:jc w:val="both"/>
        <w:rPr>
          <w:rFonts w:ascii="Arial" w:hAnsi="Arial" w:cs="Arial"/>
          <w:sz w:val="18"/>
          <w:szCs w:val="18"/>
        </w:rPr>
      </w:pPr>
      <w:r w:rsidRPr="002E5FF2">
        <w:rPr>
          <w:rFonts w:ascii="Arial" w:hAnsi="Arial" w:cs="Arial"/>
          <w:sz w:val="18"/>
          <w:szCs w:val="18"/>
        </w:rPr>
        <w:t>IC interpretation 4: Determining whether an Arrangement contains a Lease</w:t>
      </w:r>
    </w:p>
    <w:p w:rsidR="00FE4B5C" w:rsidRDefault="00FE4B5C" w:rsidP="00011292">
      <w:pPr>
        <w:spacing w:after="0" w:line="240" w:lineRule="auto"/>
        <w:ind w:left="720" w:firstLine="720"/>
        <w:jc w:val="both"/>
        <w:rPr>
          <w:rFonts w:ascii="Arial" w:hAnsi="Arial" w:cs="Arial"/>
          <w:sz w:val="18"/>
          <w:szCs w:val="18"/>
        </w:rPr>
      </w:pPr>
      <w:r w:rsidRPr="002E5FF2">
        <w:rPr>
          <w:rFonts w:ascii="Arial" w:hAnsi="Arial" w:cs="Arial"/>
          <w:sz w:val="18"/>
          <w:szCs w:val="18"/>
        </w:rPr>
        <w:t>IC interpretation 18: Transfers of Assets from Customers</w:t>
      </w:r>
    </w:p>
    <w:p w:rsidR="00FE4B5C" w:rsidRDefault="00FE4B5C" w:rsidP="00011292">
      <w:pPr>
        <w:spacing w:after="0" w:line="240" w:lineRule="auto"/>
        <w:ind w:left="720" w:firstLine="720"/>
        <w:jc w:val="both"/>
        <w:rPr>
          <w:rFonts w:ascii="Arial" w:hAnsi="Arial" w:cs="Arial"/>
          <w:sz w:val="18"/>
          <w:szCs w:val="18"/>
        </w:rPr>
      </w:pPr>
      <w:r w:rsidRPr="005B126E">
        <w:rPr>
          <w:rFonts w:ascii="Arial" w:hAnsi="Arial" w:cs="Arial"/>
          <w:sz w:val="18"/>
          <w:szCs w:val="18"/>
        </w:rPr>
        <w:t>TR 3: Guidance on Disclosures of transitions to IFRSs</w:t>
      </w:r>
    </w:p>
    <w:p w:rsidR="00FE4B5C" w:rsidRDefault="00FE4B5C" w:rsidP="00011292">
      <w:pPr>
        <w:spacing w:after="0" w:line="240" w:lineRule="auto"/>
        <w:ind w:left="720" w:firstLine="720"/>
        <w:jc w:val="both"/>
        <w:rPr>
          <w:rFonts w:ascii="Arial" w:hAnsi="Arial" w:cs="Arial"/>
          <w:sz w:val="18"/>
          <w:szCs w:val="18"/>
        </w:rPr>
      </w:pPr>
      <w:r w:rsidRPr="005B126E">
        <w:rPr>
          <w:rFonts w:ascii="Arial" w:hAnsi="Arial" w:cs="Arial"/>
          <w:sz w:val="18"/>
          <w:szCs w:val="18"/>
        </w:rPr>
        <w:t>TRi-4: Shariah Complaint Sale Contracts</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firstLine="720"/>
        <w:jc w:val="both"/>
        <w:rPr>
          <w:rFonts w:ascii="Arial" w:hAnsi="Arial" w:cs="Arial"/>
          <w:sz w:val="18"/>
          <w:szCs w:val="18"/>
        </w:rPr>
      </w:pPr>
      <w:r>
        <w:rPr>
          <w:rFonts w:ascii="Arial" w:hAnsi="Arial" w:cs="Arial"/>
          <w:b/>
          <w:bCs/>
          <w:sz w:val="18"/>
          <w:szCs w:val="18"/>
        </w:rPr>
        <w:t xml:space="preserve">(iv) </w:t>
      </w:r>
      <w:r>
        <w:rPr>
          <w:rFonts w:ascii="Arial" w:hAnsi="Arial" w:cs="Arial"/>
          <w:b/>
          <w:bCs/>
          <w:sz w:val="18"/>
          <w:szCs w:val="18"/>
        </w:rPr>
        <w:tab/>
      </w:r>
      <w:r w:rsidRPr="005B126E">
        <w:rPr>
          <w:rFonts w:ascii="Arial" w:hAnsi="Arial" w:cs="Arial"/>
          <w:b/>
          <w:bCs/>
          <w:sz w:val="18"/>
          <w:szCs w:val="18"/>
        </w:rPr>
        <w:t>Effective for financial periods beginning on or after 1 January 2012</w:t>
      </w:r>
    </w:p>
    <w:p w:rsidR="00FE4B5C" w:rsidRDefault="00FE4B5C" w:rsidP="00011292">
      <w:pPr>
        <w:spacing w:after="0" w:line="240" w:lineRule="auto"/>
        <w:ind w:left="720" w:firstLine="720"/>
        <w:jc w:val="both"/>
        <w:rPr>
          <w:rFonts w:ascii="Arial" w:hAnsi="Arial" w:cs="Arial"/>
          <w:sz w:val="18"/>
          <w:szCs w:val="18"/>
        </w:rPr>
      </w:pPr>
      <w:r w:rsidRPr="005B126E">
        <w:rPr>
          <w:rFonts w:ascii="Arial" w:hAnsi="Arial" w:cs="Arial"/>
          <w:sz w:val="18"/>
          <w:szCs w:val="18"/>
        </w:rPr>
        <w:t>IC interpretation 15: Agreements for construction of Real Estate</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left="720"/>
        <w:jc w:val="both"/>
        <w:rPr>
          <w:rFonts w:ascii="Arial" w:hAnsi="Arial" w:cs="Arial"/>
          <w:b/>
          <w:bCs/>
          <w:sz w:val="18"/>
          <w:szCs w:val="18"/>
        </w:rPr>
      </w:pPr>
      <w:r w:rsidRPr="00881474">
        <w:rPr>
          <w:rFonts w:ascii="Arial" w:hAnsi="Arial" w:cs="Arial"/>
          <w:sz w:val="18"/>
          <w:szCs w:val="18"/>
          <w:lang w:val="en-GB"/>
        </w:rPr>
        <w:t xml:space="preserve">Except for the changes in accounting policies arising from the adoption of the revised FRS 3 and the amendments to FRS 127, the directors expect that the adoption of the other standards and interpretations above will have no material impact on the financial statements in the period of initial application. </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sz w:val="18"/>
          <w:szCs w:val="18"/>
        </w:rPr>
      </w:pPr>
      <w:r w:rsidRPr="00C66008">
        <w:rPr>
          <w:rFonts w:ascii="Arial" w:hAnsi="Arial" w:cs="Arial"/>
          <w:b/>
          <w:bCs/>
          <w:sz w:val="18"/>
          <w:szCs w:val="18"/>
        </w:rPr>
        <w:t>A3.</w:t>
      </w:r>
      <w:r>
        <w:rPr>
          <w:rFonts w:ascii="Arial" w:hAnsi="Arial" w:cs="Arial"/>
          <w:b/>
          <w:bCs/>
          <w:sz w:val="18"/>
          <w:szCs w:val="18"/>
        </w:rPr>
        <w:tab/>
      </w:r>
      <w:r w:rsidRPr="00C66008">
        <w:rPr>
          <w:rFonts w:ascii="Arial" w:hAnsi="Arial" w:cs="Arial"/>
          <w:b/>
          <w:bCs/>
          <w:sz w:val="18"/>
          <w:szCs w:val="18"/>
        </w:rPr>
        <w:t>Auditors’ report on preceding annual financial statements</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left="720"/>
        <w:jc w:val="both"/>
        <w:rPr>
          <w:rFonts w:ascii="Arial" w:hAnsi="Arial" w:cs="Arial"/>
          <w:b/>
          <w:bCs/>
          <w:sz w:val="18"/>
          <w:szCs w:val="18"/>
        </w:rPr>
      </w:pPr>
      <w:r w:rsidRPr="00544983">
        <w:rPr>
          <w:rFonts w:ascii="Arial" w:hAnsi="Arial" w:cs="Arial"/>
          <w:sz w:val="18"/>
          <w:szCs w:val="18"/>
        </w:rPr>
        <w:t xml:space="preserve">The auditor </w:t>
      </w:r>
      <w:r w:rsidRPr="00EF2998">
        <w:rPr>
          <w:rFonts w:ascii="Arial" w:hAnsi="Arial" w:cs="Arial"/>
          <w:sz w:val="18"/>
          <w:szCs w:val="18"/>
        </w:rPr>
        <w:t>report on the preceding audited financial statement of the Company and its subsidiaries for the financial</w:t>
      </w:r>
      <w:r>
        <w:rPr>
          <w:rFonts w:ascii="Arial" w:hAnsi="Arial" w:cs="Arial"/>
          <w:sz w:val="18"/>
          <w:szCs w:val="18"/>
        </w:rPr>
        <w:t xml:space="preserve"> year</w:t>
      </w:r>
      <w:r w:rsidRPr="00EF2998">
        <w:rPr>
          <w:rFonts w:ascii="Arial" w:hAnsi="Arial" w:cs="Arial"/>
          <w:sz w:val="18"/>
          <w:szCs w:val="18"/>
        </w:rPr>
        <w:t xml:space="preserve">ended 31 </w:t>
      </w:r>
      <w:r>
        <w:rPr>
          <w:rFonts w:ascii="Arial" w:hAnsi="Arial" w:cs="Arial"/>
          <w:sz w:val="18"/>
          <w:szCs w:val="18"/>
        </w:rPr>
        <w:t>December</w:t>
      </w:r>
      <w:r w:rsidRPr="00EF2998">
        <w:rPr>
          <w:rFonts w:ascii="Arial" w:hAnsi="Arial" w:cs="Arial"/>
          <w:sz w:val="18"/>
          <w:szCs w:val="18"/>
        </w:rPr>
        <w:t xml:space="preserve"> 200</w:t>
      </w:r>
      <w:r>
        <w:rPr>
          <w:rFonts w:ascii="Arial" w:hAnsi="Arial" w:cs="Arial"/>
          <w:sz w:val="18"/>
          <w:szCs w:val="18"/>
        </w:rPr>
        <w:t>9</w:t>
      </w:r>
      <w:r w:rsidRPr="00EF2998">
        <w:rPr>
          <w:rFonts w:ascii="Arial" w:hAnsi="Arial" w:cs="Arial"/>
          <w:sz w:val="18"/>
          <w:szCs w:val="18"/>
        </w:rPr>
        <w:t xml:space="preserve"> was not subject</w:t>
      </w:r>
      <w:r w:rsidRPr="00544983">
        <w:rPr>
          <w:rFonts w:ascii="Arial" w:hAnsi="Arial" w:cs="Arial"/>
          <w:sz w:val="18"/>
          <w:szCs w:val="18"/>
        </w:rPr>
        <w:t xml:space="preserve"> to any qualification.</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Pr="00C66008" w:rsidRDefault="00FE4B5C" w:rsidP="00011292">
      <w:pPr>
        <w:spacing w:after="0" w:line="240" w:lineRule="auto"/>
        <w:jc w:val="both"/>
        <w:rPr>
          <w:rFonts w:ascii="Arial" w:hAnsi="Arial" w:cs="Arial"/>
          <w:b/>
          <w:bCs/>
          <w:sz w:val="18"/>
          <w:szCs w:val="18"/>
        </w:rPr>
      </w:pPr>
      <w:r w:rsidRPr="00C66008">
        <w:rPr>
          <w:rFonts w:ascii="Arial" w:hAnsi="Arial" w:cs="Arial"/>
          <w:b/>
          <w:bCs/>
          <w:sz w:val="18"/>
          <w:szCs w:val="18"/>
        </w:rPr>
        <w:t>A4</w:t>
      </w:r>
      <w:r>
        <w:rPr>
          <w:rFonts w:ascii="Arial" w:hAnsi="Arial" w:cs="Arial"/>
          <w:b/>
          <w:bCs/>
          <w:sz w:val="18"/>
          <w:szCs w:val="18"/>
        </w:rPr>
        <w:t>.</w:t>
      </w:r>
      <w:r>
        <w:rPr>
          <w:rFonts w:ascii="Arial" w:hAnsi="Arial" w:cs="Arial"/>
          <w:b/>
          <w:bCs/>
          <w:sz w:val="18"/>
          <w:szCs w:val="18"/>
        </w:rPr>
        <w:tab/>
      </w:r>
      <w:r w:rsidRPr="00C66008">
        <w:rPr>
          <w:rFonts w:ascii="Arial" w:hAnsi="Arial" w:cs="Arial"/>
          <w:b/>
          <w:bCs/>
          <w:sz w:val="18"/>
          <w:szCs w:val="18"/>
        </w:rPr>
        <w:t>Seasonal or cyclical factors</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firstLine="720"/>
        <w:jc w:val="both"/>
        <w:rPr>
          <w:rFonts w:ascii="Arial" w:hAnsi="Arial" w:cs="Arial"/>
          <w:sz w:val="18"/>
          <w:szCs w:val="18"/>
        </w:rPr>
      </w:pPr>
      <w:r>
        <w:rPr>
          <w:rFonts w:ascii="Arial" w:hAnsi="Arial" w:cs="Arial"/>
          <w:sz w:val="18"/>
          <w:szCs w:val="18"/>
        </w:rPr>
        <w:t>The Group did not subject to any material seasonal or cyclical factors.</w:t>
      </w:r>
    </w:p>
    <w:p w:rsidR="00FE4B5C" w:rsidRDefault="00FE4B5C" w:rsidP="00011292">
      <w:pPr>
        <w:spacing w:after="0" w:line="240" w:lineRule="auto"/>
        <w:ind w:firstLine="720"/>
        <w:jc w:val="both"/>
        <w:rPr>
          <w:rFonts w:ascii="Arial" w:hAnsi="Arial" w:cs="Arial"/>
          <w:sz w:val="18"/>
          <w:szCs w:val="18"/>
        </w:rPr>
      </w:pPr>
    </w:p>
    <w:p w:rsidR="00FE4B5C" w:rsidRDefault="00FE4B5C" w:rsidP="00011292">
      <w:pPr>
        <w:spacing w:after="0" w:line="240" w:lineRule="auto"/>
        <w:ind w:firstLine="720"/>
        <w:jc w:val="both"/>
        <w:rPr>
          <w:rFonts w:ascii="Arial" w:hAnsi="Arial" w:cs="Arial"/>
          <w:sz w:val="18"/>
          <w:szCs w:val="18"/>
        </w:rPr>
      </w:pPr>
    </w:p>
    <w:p w:rsidR="00FE4B5C" w:rsidRDefault="00FE4B5C" w:rsidP="00011292">
      <w:pPr>
        <w:spacing w:after="0" w:line="240" w:lineRule="auto"/>
        <w:jc w:val="both"/>
        <w:rPr>
          <w:rFonts w:ascii="Arial" w:hAnsi="Arial" w:cs="Arial"/>
          <w:b/>
          <w:bCs/>
          <w:sz w:val="18"/>
          <w:szCs w:val="18"/>
        </w:rPr>
      </w:pPr>
      <w:bookmarkStart w:id="0" w:name="_GoBack"/>
      <w:bookmarkEnd w:id="0"/>
      <w:r w:rsidRPr="004D103B">
        <w:rPr>
          <w:rFonts w:ascii="Arial" w:hAnsi="Arial" w:cs="Arial"/>
          <w:b/>
          <w:bCs/>
          <w:sz w:val="18"/>
          <w:szCs w:val="18"/>
        </w:rPr>
        <w:t>A5.</w:t>
      </w:r>
      <w:r>
        <w:rPr>
          <w:rFonts w:ascii="Arial" w:hAnsi="Arial" w:cs="Arial"/>
          <w:b/>
          <w:bCs/>
          <w:sz w:val="18"/>
          <w:szCs w:val="18"/>
        </w:rPr>
        <w:tab/>
      </w:r>
      <w:r w:rsidRPr="00497B3A">
        <w:rPr>
          <w:rFonts w:ascii="Arial" w:hAnsi="Arial" w:cs="Arial"/>
          <w:b/>
          <w:bCs/>
          <w:sz w:val="18"/>
          <w:szCs w:val="18"/>
        </w:rPr>
        <w:t>Items of unusual nature</w:t>
      </w:r>
    </w:p>
    <w:p w:rsidR="00FE4B5C" w:rsidRPr="004D103B" w:rsidRDefault="00FE4B5C" w:rsidP="00011292">
      <w:pPr>
        <w:spacing w:after="0" w:line="240" w:lineRule="auto"/>
        <w:jc w:val="both"/>
        <w:rPr>
          <w:rFonts w:ascii="Arial" w:hAnsi="Arial" w:cs="Arial"/>
          <w:b/>
          <w:bCs/>
          <w:sz w:val="18"/>
          <w:szCs w:val="18"/>
        </w:rPr>
      </w:pPr>
    </w:p>
    <w:p w:rsidR="00FE4B5C" w:rsidRDefault="00FE4B5C" w:rsidP="00497B3A">
      <w:pPr>
        <w:spacing w:after="0" w:line="240" w:lineRule="auto"/>
        <w:ind w:left="720"/>
        <w:jc w:val="both"/>
        <w:rPr>
          <w:rFonts w:ascii="Arial" w:hAnsi="Arial" w:cs="Arial"/>
          <w:sz w:val="18"/>
          <w:szCs w:val="18"/>
        </w:rPr>
      </w:pPr>
      <w:r w:rsidRPr="00497B3A">
        <w:rPr>
          <w:rFonts w:ascii="Arial" w:hAnsi="Arial" w:cs="Arial"/>
          <w:sz w:val="18"/>
          <w:szCs w:val="18"/>
        </w:rPr>
        <w:t>There were no significant unusual items affecting the assets, liabilities, equity, net income or cash flow during the current</w:t>
      </w:r>
      <w:r>
        <w:rPr>
          <w:rFonts w:ascii="Arial" w:hAnsi="Arial" w:cs="Arial"/>
          <w:sz w:val="18"/>
          <w:szCs w:val="18"/>
        </w:rPr>
        <w:t xml:space="preserve"> </w:t>
      </w:r>
      <w:r w:rsidRPr="00497B3A">
        <w:rPr>
          <w:rFonts w:ascii="Arial" w:hAnsi="Arial" w:cs="Arial"/>
          <w:sz w:val="18"/>
          <w:szCs w:val="18"/>
        </w:rPr>
        <w:t>financial quarter.</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Pr="009D10AA" w:rsidRDefault="00FE4B5C" w:rsidP="00011292">
      <w:pPr>
        <w:spacing w:after="0" w:line="240" w:lineRule="auto"/>
        <w:jc w:val="both"/>
        <w:rPr>
          <w:rFonts w:ascii="Arial" w:hAnsi="Arial" w:cs="Arial"/>
          <w:b/>
          <w:bCs/>
          <w:sz w:val="18"/>
          <w:szCs w:val="18"/>
        </w:rPr>
      </w:pPr>
      <w:r w:rsidRPr="009D10AA">
        <w:rPr>
          <w:rFonts w:ascii="Arial" w:hAnsi="Arial" w:cs="Arial"/>
          <w:b/>
          <w:bCs/>
          <w:sz w:val="18"/>
          <w:szCs w:val="18"/>
        </w:rPr>
        <w:t>A6.</w:t>
      </w:r>
      <w:r>
        <w:rPr>
          <w:rFonts w:ascii="Arial" w:hAnsi="Arial" w:cs="Arial"/>
          <w:b/>
          <w:bCs/>
          <w:sz w:val="18"/>
          <w:szCs w:val="18"/>
        </w:rPr>
        <w:tab/>
      </w:r>
      <w:r w:rsidRPr="009D10AA">
        <w:rPr>
          <w:rFonts w:ascii="Arial" w:hAnsi="Arial" w:cs="Arial"/>
          <w:b/>
          <w:bCs/>
          <w:sz w:val="18"/>
          <w:szCs w:val="18"/>
        </w:rPr>
        <w:t>Changes in estimates</w:t>
      </w:r>
    </w:p>
    <w:p w:rsidR="00FE4B5C" w:rsidRDefault="00FE4B5C" w:rsidP="00011292">
      <w:pPr>
        <w:spacing w:after="0" w:line="240" w:lineRule="auto"/>
        <w:jc w:val="both"/>
        <w:rPr>
          <w:rFonts w:ascii="Arial" w:hAnsi="Arial" w:cs="Arial"/>
          <w:sz w:val="18"/>
          <w:szCs w:val="18"/>
        </w:rPr>
      </w:pPr>
    </w:p>
    <w:p w:rsidR="00FE4B5C" w:rsidRDefault="00FE4B5C" w:rsidP="00497B3A">
      <w:pPr>
        <w:spacing w:after="0" w:line="240" w:lineRule="auto"/>
        <w:ind w:left="720"/>
        <w:jc w:val="both"/>
        <w:rPr>
          <w:rFonts w:ascii="Arial" w:hAnsi="Arial" w:cs="Arial"/>
          <w:sz w:val="18"/>
          <w:szCs w:val="18"/>
        </w:rPr>
      </w:pPr>
      <w:r w:rsidRPr="00544983">
        <w:rPr>
          <w:rFonts w:ascii="Arial" w:hAnsi="Arial" w:cs="Arial"/>
          <w:sz w:val="18"/>
          <w:szCs w:val="18"/>
        </w:rPr>
        <w:t xml:space="preserve">There </w:t>
      </w:r>
      <w:r>
        <w:rPr>
          <w:rFonts w:ascii="Arial" w:hAnsi="Arial" w:cs="Arial"/>
          <w:sz w:val="18"/>
          <w:szCs w:val="18"/>
        </w:rPr>
        <w:t xml:space="preserve">were </w:t>
      </w:r>
      <w:r w:rsidRPr="00544983">
        <w:rPr>
          <w:rFonts w:ascii="Arial" w:hAnsi="Arial" w:cs="Arial"/>
          <w:sz w:val="18"/>
          <w:szCs w:val="18"/>
        </w:rPr>
        <w:t>no change</w:t>
      </w:r>
      <w:r>
        <w:rPr>
          <w:rFonts w:ascii="Arial" w:hAnsi="Arial" w:cs="Arial"/>
          <w:sz w:val="18"/>
          <w:szCs w:val="18"/>
        </w:rPr>
        <w:t>s</w:t>
      </w:r>
      <w:r w:rsidRPr="00544983">
        <w:rPr>
          <w:rFonts w:ascii="Arial" w:hAnsi="Arial" w:cs="Arial"/>
          <w:sz w:val="18"/>
          <w:szCs w:val="18"/>
        </w:rPr>
        <w:t xml:space="preserve"> in estimates that had a material eff</w:t>
      </w:r>
      <w:r>
        <w:rPr>
          <w:rFonts w:ascii="Arial" w:hAnsi="Arial" w:cs="Arial"/>
          <w:sz w:val="18"/>
          <w:szCs w:val="18"/>
        </w:rPr>
        <w:t>ect in the current financial quarter and period to date results.</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Pr="00CB0C40" w:rsidRDefault="00FE4B5C" w:rsidP="00011292">
      <w:pPr>
        <w:spacing w:after="0" w:line="240" w:lineRule="auto"/>
        <w:jc w:val="both"/>
        <w:rPr>
          <w:rFonts w:ascii="Arial" w:hAnsi="Arial" w:cs="Arial"/>
          <w:b/>
          <w:bCs/>
          <w:sz w:val="18"/>
          <w:szCs w:val="18"/>
        </w:rPr>
      </w:pPr>
      <w:r w:rsidRPr="00CB0C40">
        <w:rPr>
          <w:rFonts w:ascii="Arial" w:hAnsi="Arial" w:cs="Arial"/>
          <w:b/>
          <w:bCs/>
          <w:sz w:val="18"/>
          <w:szCs w:val="18"/>
        </w:rPr>
        <w:t>A7.</w:t>
      </w:r>
      <w:r>
        <w:rPr>
          <w:rFonts w:ascii="Arial" w:hAnsi="Arial" w:cs="Arial"/>
          <w:b/>
          <w:bCs/>
          <w:sz w:val="18"/>
          <w:szCs w:val="18"/>
        </w:rPr>
        <w:tab/>
      </w:r>
      <w:r w:rsidRPr="00CB0C40">
        <w:rPr>
          <w:rFonts w:ascii="Arial" w:hAnsi="Arial" w:cs="Arial"/>
          <w:b/>
          <w:bCs/>
          <w:sz w:val="18"/>
          <w:szCs w:val="18"/>
        </w:rPr>
        <w:t>Valuation of property, plant and equipment</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left="720"/>
        <w:jc w:val="both"/>
        <w:rPr>
          <w:rFonts w:ascii="Arial" w:hAnsi="Arial" w:cs="Arial"/>
          <w:sz w:val="18"/>
          <w:szCs w:val="18"/>
        </w:rPr>
      </w:pPr>
      <w:r>
        <w:rPr>
          <w:rFonts w:ascii="Arial" w:hAnsi="Arial" w:cs="Arial"/>
          <w:sz w:val="18"/>
          <w:szCs w:val="18"/>
        </w:rPr>
        <w:t>Property, plant and equipment except for freehold land are measured at cost less accumulated depreciation and accumulated impairment losses.</w:t>
      </w:r>
    </w:p>
    <w:p w:rsidR="00FE4B5C" w:rsidRDefault="00FE4B5C" w:rsidP="00011292">
      <w:pPr>
        <w:spacing w:after="0" w:line="240" w:lineRule="auto"/>
        <w:ind w:left="720"/>
        <w:jc w:val="both"/>
        <w:rPr>
          <w:rFonts w:ascii="Arial" w:hAnsi="Arial" w:cs="Arial"/>
          <w:sz w:val="18"/>
          <w:szCs w:val="18"/>
        </w:rPr>
      </w:pPr>
    </w:p>
    <w:p w:rsidR="00FE4B5C" w:rsidRDefault="00FE4B5C" w:rsidP="00011292">
      <w:pPr>
        <w:spacing w:after="0" w:line="240" w:lineRule="auto"/>
        <w:ind w:left="720"/>
        <w:jc w:val="both"/>
        <w:rPr>
          <w:rFonts w:ascii="Arial" w:hAnsi="Arial" w:cs="Arial"/>
          <w:sz w:val="18"/>
          <w:szCs w:val="18"/>
        </w:rPr>
      </w:pPr>
      <w:r>
        <w:rPr>
          <w:rFonts w:ascii="Arial" w:hAnsi="Arial" w:cs="Arial"/>
          <w:sz w:val="18"/>
          <w:szCs w:val="18"/>
        </w:rPr>
        <w:t>Freehold land has an unlimited useful life and therefore is not depreciated.</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Pr="00B873A3" w:rsidRDefault="00FE4B5C" w:rsidP="00011292">
      <w:pPr>
        <w:spacing w:after="0" w:line="240" w:lineRule="auto"/>
        <w:jc w:val="both"/>
        <w:rPr>
          <w:rFonts w:ascii="Arial" w:hAnsi="Arial" w:cs="Arial"/>
          <w:b/>
          <w:bCs/>
          <w:sz w:val="18"/>
          <w:szCs w:val="18"/>
        </w:rPr>
      </w:pPr>
      <w:r w:rsidRPr="00B873A3">
        <w:rPr>
          <w:rFonts w:ascii="Arial" w:hAnsi="Arial" w:cs="Arial"/>
          <w:b/>
          <w:bCs/>
          <w:sz w:val="18"/>
          <w:szCs w:val="18"/>
        </w:rPr>
        <w:t xml:space="preserve">A8. </w:t>
      </w:r>
      <w:r>
        <w:rPr>
          <w:rFonts w:ascii="Arial" w:hAnsi="Arial" w:cs="Arial"/>
          <w:b/>
          <w:bCs/>
          <w:sz w:val="18"/>
          <w:szCs w:val="18"/>
        </w:rPr>
        <w:tab/>
      </w:r>
      <w:r w:rsidRPr="00B873A3">
        <w:rPr>
          <w:rFonts w:ascii="Arial" w:hAnsi="Arial" w:cs="Arial"/>
          <w:b/>
          <w:bCs/>
          <w:sz w:val="18"/>
          <w:szCs w:val="18"/>
        </w:rPr>
        <w:t>Debts and equity securities</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left="720"/>
        <w:jc w:val="both"/>
        <w:rPr>
          <w:rFonts w:ascii="Arial" w:hAnsi="Arial" w:cs="Arial"/>
          <w:sz w:val="18"/>
          <w:szCs w:val="18"/>
        </w:rPr>
      </w:pPr>
      <w:r>
        <w:rPr>
          <w:rFonts w:ascii="Arial" w:hAnsi="Arial" w:cs="Arial"/>
          <w:sz w:val="18"/>
          <w:szCs w:val="18"/>
        </w:rPr>
        <w:t>There were no issuances, cancellations, repurchases, resale and repayment of debt and equity securities during the current financial quarter other than as disclosed in Note A13.</w:t>
      </w:r>
    </w:p>
    <w:p w:rsidR="00FE4B5C" w:rsidRDefault="00FE4B5C" w:rsidP="00011292">
      <w:pPr>
        <w:spacing w:after="0" w:line="240" w:lineRule="auto"/>
        <w:jc w:val="both"/>
        <w:rPr>
          <w:rFonts w:ascii="Arial" w:hAnsi="Arial" w:cs="Arial"/>
          <w:sz w:val="18"/>
          <w:szCs w:val="18"/>
        </w:rPr>
      </w:pPr>
    </w:p>
    <w:p w:rsidR="00FE4B5C" w:rsidRPr="00371355" w:rsidRDefault="00FE4B5C" w:rsidP="00011292">
      <w:pPr>
        <w:spacing w:after="0" w:line="240" w:lineRule="auto"/>
        <w:jc w:val="both"/>
        <w:rPr>
          <w:rFonts w:ascii="Arial" w:hAnsi="Arial" w:cs="Arial"/>
          <w:sz w:val="18"/>
          <w:szCs w:val="18"/>
        </w:rPr>
      </w:pPr>
    </w:p>
    <w:p w:rsidR="00FE4B5C" w:rsidRPr="00371355" w:rsidRDefault="00FE4B5C" w:rsidP="00011292">
      <w:pPr>
        <w:spacing w:after="0" w:line="240" w:lineRule="auto"/>
        <w:jc w:val="both"/>
        <w:rPr>
          <w:rFonts w:ascii="Arial" w:hAnsi="Arial" w:cs="Arial"/>
          <w:b/>
          <w:bCs/>
          <w:sz w:val="18"/>
          <w:szCs w:val="18"/>
        </w:rPr>
      </w:pPr>
      <w:r w:rsidRPr="00371355">
        <w:rPr>
          <w:rFonts w:ascii="Arial" w:hAnsi="Arial" w:cs="Arial"/>
          <w:b/>
          <w:bCs/>
          <w:sz w:val="18"/>
          <w:szCs w:val="18"/>
        </w:rPr>
        <w:t>A9.</w:t>
      </w:r>
      <w:r>
        <w:rPr>
          <w:rFonts w:ascii="Arial" w:hAnsi="Arial" w:cs="Arial"/>
          <w:b/>
          <w:bCs/>
          <w:sz w:val="18"/>
          <w:szCs w:val="18"/>
        </w:rPr>
        <w:tab/>
      </w:r>
      <w:r w:rsidRPr="00371355">
        <w:rPr>
          <w:rFonts w:ascii="Arial" w:hAnsi="Arial" w:cs="Arial"/>
          <w:b/>
          <w:bCs/>
          <w:sz w:val="18"/>
          <w:szCs w:val="18"/>
        </w:rPr>
        <w:t>Dividend Paid</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firstLine="720"/>
        <w:jc w:val="both"/>
        <w:rPr>
          <w:rFonts w:ascii="Arial" w:hAnsi="Arial" w:cs="Arial"/>
          <w:sz w:val="18"/>
          <w:szCs w:val="18"/>
        </w:rPr>
      </w:pPr>
      <w:r w:rsidRPr="00544983">
        <w:rPr>
          <w:rFonts w:ascii="Arial" w:hAnsi="Arial" w:cs="Arial"/>
          <w:sz w:val="18"/>
          <w:szCs w:val="18"/>
        </w:rPr>
        <w:t xml:space="preserve">There were no dividends paid by the </w:t>
      </w:r>
      <w:r>
        <w:rPr>
          <w:rFonts w:ascii="Arial" w:hAnsi="Arial" w:cs="Arial"/>
          <w:sz w:val="18"/>
          <w:szCs w:val="18"/>
        </w:rPr>
        <w:t>C</w:t>
      </w:r>
      <w:r w:rsidRPr="00544983">
        <w:rPr>
          <w:rFonts w:ascii="Arial" w:hAnsi="Arial" w:cs="Arial"/>
          <w:sz w:val="18"/>
          <w:szCs w:val="18"/>
        </w:rPr>
        <w:t>ompany in the current</w:t>
      </w:r>
      <w:r>
        <w:rPr>
          <w:rFonts w:ascii="Arial" w:hAnsi="Arial" w:cs="Arial"/>
          <w:sz w:val="18"/>
          <w:szCs w:val="18"/>
        </w:rPr>
        <w:t xml:space="preserve"> financial</w:t>
      </w:r>
      <w:r w:rsidRPr="00544983">
        <w:rPr>
          <w:rFonts w:ascii="Arial" w:hAnsi="Arial" w:cs="Arial"/>
          <w:sz w:val="18"/>
          <w:szCs w:val="18"/>
        </w:rPr>
        <w:t xml:space="preserve"> quarter.</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r w:rsidRPr="00BA4757">
        <w:rPr>
          <w:rFonts w:ascii="Arial" w:hAnsi="Arial" w:cs="Arial"/>
          <w:b/>
          <w:bCs/>
          <w:sz w:val="18"/>
          <w:szCs w:val="18"/>
        </w:rPr>
        <w:t>A10.</w:t>
      </w:r>
      <w:r>
        <w:rPr>
          <w:rFonts w:ascii="Arial" w:hAnsi="Arial" w:cs="Arial"/>
          <w:b/>
          <w:bCs/>
          <w:sz w:val="18"/>
          <w:szCs w:val="18"/>
        </w:rPr>
        <w:tab/>
      </w:r>
      <w:r w:rsidRPr="00BA4757">
        <w:rPr>
          <w:rFonts w:ascii="Arial" w:hAnsi="Arial" w:cs="Arial"/>
          <w:b/>
          <w:bCs/>
          <w:sz w:val="18"/>
          <w:szCs w:val="18"/>
        </w:rPr>
        <w:t>Segment reporting</w:t>
      </w:r>
    </w:p>
    <w:p w:rsidR="00FE4B5C" w:rsidRDefault="00FE4B5C" w:rsidP="00011292">
      <w:pPr>
        <w:spacing w:after="0" w:line="240" w:lineRule="auto"/>
        <w:jc w:val="both"/>
        <w:rPr>
          <w:rFonts w:ascii="Arial" w:hAnsi="Arial" w:cs="Arial"/>
          <w:b/>
          <w:bCs/>
          <w:sz w:val="18"/>
          <w:szCs w:val="18"/>
        </w:rPr>
      </w:pPr>
    </w:p>
    <w:p w:rsidR="00FE4B5C" w:rsidRDefault="00FE4B5C" w:rsidP="00011292">
      <w:pPr>
        <w:tabs>
          <w:tab w:val="left" w:pos="0"/>
        </w:tabs>
        <w:spacing w:after="0" w:line="240" w:lineRule="auto"/>
        <w:ind w:left="720"/>
        <w:jc w:val="both"/>
        <w:rPr>
          <w:rFonts w:ascii="Arial" w:hAnsi="Arial" w:cs="Arial"/>
          <w:sz w:val="18"/>
          <w:szCs w:val="18"/>
        </w:rPr>
      </w:pPr>
      <w:r>
        <w:rPr>
          <w:rFonts w:ascii="Arial" w:hAnsi="Arial" w:cs="Arial"/>
          <w:sz w:val="18"/>
          <w:szCs w:val="18"/>
        </w:rPr>
        <w:t>The Group’s operation is divided into local and export market. The local market relates to sales to customers within Malaysia, whereas the export market to sales to overseas customers include United Kingdom, Singapore, Indonesia, Papua New Guinea and Brunei being the Principal market segment. Sales revenue by geographical market are as follows:</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35AB9">
        <w:rPr>
          <w:rFonts w:ascii="Arial" w:hAnsi="Arial" w:cs="Arial"/>
          <w:b/>
          <w:bCs/>
          <w:sz w:val="18"/>
          <w:szCs w:val="18"/>
        </w:rPr>
        <w:t>Individual Quarter</w:t>
      </w:r>
      <w:r>
        <w:rPr>
          <w:rFonts w:ascii="Arial" w:hAnsi="Arial" w:cs="Arial"/>
          <w:sz w:val="18"/>
          <w:szCs w:val="18"/>
        </w:rPr>
        <w:tab/>
      </w:r>
      <w:r>
        <w:rPr>
          <w:rFonts w:ascii="Arial" w:hAnsi="Arial" w:cs="Arial"/>
          <w:sz w:val="18"/>
          <w:szCs w:val="18"/>
        </w:rPr>
        <w:tab/>
      </w:r>
      <w:r w:rsidRPr="00235AB9">
        <w:rPr>
          <w:rFonts w:ascii="Arial" w:hAnsi="Arial" w:cs="Arial"/>
          <w:b/>
          <w:bCs/>
          <w:sz w:val="18"/>
          <w:szCs w:val="18"/>
        </w:rPr>
        <w:t>Cumulative Quarter</w:t>
      </w:r>
    </w:p>
    <w:tbl>
      <w:tblPr>
        <w:tblW w:w="9302" w:type="dxa"/>
        <w:tblInd w:w="-106" w:type="dxa"/>
        <w:tblLook w:val="0080"/>
      </w:tblPr>
      <w:tblGrid>
        <w:gridCol w:w="2718"/>
        <w:gridCol w:w="1620"/>
        <w:gridCol w:w="1800"/>
        <w:gridCol w:w="1417"/>
        <w:gridCol w:w="1747"/>
      </w:tblGrid>
      <w:tr w:rsidR="00FE4B5C" w:rsidRPr="00174132">
        <w:trPr>
          <w:trHeight w:val="468"/>
        </w:trPr>
        <w:tc>
          <w:tcPr>
            <w:tcW w:w="2718" w:type="dxa"/>
            <w:vAlign w:val="bottom"/>
          </w:tcPr>
          <w:p w:rsidR="00FE4B5C" w:rsidRPr="00174132" w:rsidRDefault="00FE4B5C" w:rsidP="00174132">
            <w:pPr>
              <w:spacing w:after="0" w:line="240" w:lineRule="auto"/>
              <w:jc w:val="both"/>
              <w:rPr>
                <w:rFonts w:ascii="Arial" w:hAnsi="Arial" w:cs="Arial"/>
                <w:b/>
                <w:bCs/>
                <w:sz w:val="18"/>
                <w:szCs w:val="18"/>
              </w:rPr>
            </w:pP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Current YearQuarter Ended</w:t>
            </w:r>
          </w:p>
        </w:tc>
        <w:tc>
          <w:tcPr>
            <w:tcW w:w="180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Preceding Year</w:t>
            </w:r>
          </w:p>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Quarter Ended</w:t>
            </w:r>
          </w:p>
        </w:tc>
        <w:tc>
          <w:tcPr>
            <w:tcW w:w="1417"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Current Year to Date</w:t>
            </w:r>
          </w:p>
        </w:tc>
        <w:tc>
          <w:tcPr>
            <w:tcW w:w="1747"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Preceding Year</w:t>
            </w: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toDate</w:t>
            </w:r>
          </w:p>
        </w:tc>
      </w:tr>
      <w:tr w:rsidR="00FE4B5C" w:rsidRPr="00174132">
        <w:tc>
          <w:tcPr>
            <w:tcW w:w="2718" w:type="dxa"/>
          </w:tcPr>
          <w:p w:rsidR="00FE4B5C" w:rsidRPr="00174132" w:rsidRDefault="00FE4B5C" w:rsidP="00174132">
            <w:pPr>
              <w:tabs>
                <w:tab w:val="left" w:pos="4410"/>
              </w:tabs>
              <w:adjustRightInd w:val="0"/>
              <w:spacing w:after="0" w:line="240" w:lineRule="auto"/>
              <w:jc w:val="both"/>
              <w:rPr>
                <w:rFonts w:ascii="Arial" w:hAnsi="Arial" w:cs="Arial"/>
                <w:sz w:val="18"/>
                <w:szCs w:val="18"/>
              </w:rPr>
            </w:pPr>
          </w:p>
        </w:tc>
        <w:tc>
          <w:tcPr>
            <w:tcW w:w="1620" w:type="dxa"/>
          </w:tcPr>
          <w:p w:rsidR="00FE4B5C" w:rsidRPr="00174132" w:rsidRDefault="00FE4B5C" w:rsidP="00174132">
            <w:pPr>
              <w:tabs>
                <w:tab w:val="left" w:pos="4410"/>
              </w:tabs>
              <w:adjustRightInd w:val="0"/>
              <w:spacing w:after="0" w:line="240" w:lineRule="auto"/>
              <w:jc w:val="right"/>
              <w:rPr>
                <w:rFonts w:ascii="Arial" w:hAnsi="Arial" w:cs="Arial"/>
                <w:sz w:val="18"/>
                <w:szCs w:val="18"/>
              </w:rPr>
            </w:pPr>
            <w:r w:rsidRPr="00174132">
              <w:rPr>
                <w:rFonts w:ascii="Arial" w:hAnsi="Arial" w:cs="Arial"/>
                <w:b/>
                <w:bCs/>
                <w:sz w:val="18"/>
                <w:szCs w:val="18"/>
              </w:rPr>
              <w:t>31-Dec-2010</w:t>
            </w:r>
          </w:p>
        </w:tc>
        <w:tc>
          <w:tcPr>
            <w:tcW w:w="180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31-Dec-2009</w:t>
            </w:r>
          </w:p>
        </w:tc>
        <w:tc>
          <w:tcPr>
            <w:tcW w:w="1417"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31-Dec-2010</w:t>
            </w:r>
          </w:p>
        </w:tc>
        <w:tc>
          <w:tcPr>
            <w:tcW w:w="1747"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31-Dec-2009</w:t>
            </w:r>
          </w:p>
        </w:tc>
      </w:tr>
      <w:tr w:rsidR="00FE4B5C" w:rsidRPr="00174132">
        <w:tc>
          <w:tcPr>
            <w:tcW w:w="2718" w:type="dxa"/>
          </w:tcPr>
          <w:p w:rsidR="00FE4B5C" w:rsidRPr="00174132" w:rsidRDefault="00FE4B5C" w:rsidP="00174132">
            <w:pPr>
              <w:spacing w:after="0" w:line="240" w:lineRule="auto"/>
              <w:jc w:val="both"/>
              <w:rPr>
                <w:rFonts w:ascii="Arial" w:hAnsi="Arial" w:cs="Arial"/>
                <w:sz w:val="18"/>
                <w:szCs w:val="18"/>
              </w:rPr>
            </w:pP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RM’000</w:t>
            </w:r>
          </w:p>
        </w:tc>
        <w:tc>
          <w:tcPr>
            <w:tcW w:w="180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RM’000</w:t>
            </w:r>
          </w:p>
        </w:tc>
        <w:tc>
          <w:tcPr>
            <w:tcW w:w="1417"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RM’000</w:t>
            </w:r>
          </w:p>
        </w:tc>
        <w:tc>
          <w:tcPr>
            <w:tcW w:w="1747"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RM’000</w:t>
            </w:r>
          </w:p>
        </w:tc>
      </w:tr>
      <w:tr w:rsidR="00FE4B5C" w:rsidRPr="00174132">
        <w:tc>
          <w:tcPr>
            <w:tcW w:w="2718" w:type="dxa"/>
          </w:tcPr>
          <w:p w:rsidR="00FE4B5C" w:rsidRPr="00174132" w:rsidRDefault="00FE4B5C" w:rsidP="00174132">
            <w:pPr>
              <w:spacing w:after="0" w:line="240" w:lineRule="auto"/>
              <w:ind w:left="720"/>
              <w:jc w:val="both"/>
              <w:rPr>
                <w:rFonts w:ascii="Arial" w:hAnsi="Arial" w:cs="Arial"/>
                <w:b/>
                <w:bCs/>
                <w:sz w:val="18"/>
                <w:szCs w:val="18"/>
                <w:u w:val="single"/>
              </w:rPr>
            </w:pPr>
            <w:r w:rsidRPr="00174132">
              <w:rPr>
                <w:rFonts w:ascii="Arial" w:hAnsi="Arial" w:cs="Arial"/>
                <w:b/>
                <w:bCs/>
                <w:sz w:val="18"/>
                <w:szCs w:val="18"/>
                <w:u w:val="single"/>
              </w:rPr>
              <w:t>Revenue</w:t>
            </w:r>
          </w:p>
        </w:tc>
        <w:tc>
          <w:tcPr>
            <w:tcW w:w="1620" w:type="dxa"/>
          </w:tcPr>
          <w:p w:rsidR="00FE4B5C" w:rsidRPr="00174132" w:rsidRDefault="00FE4B5C" w:rsidP="00174132">
            <w:pPr>
              <w:spacing w:after="0" w:line="240" w:lineRule="auto"/>
              <w:jc w:val="both"/>
              <w:rPr>
                <w:rFonts w:ascii="Arial" w:hAnsi="Arial" w:cs="Arial"/>
                <w:b/>
                <w:bCs/>
                <w:sz w:val="18"/>
                <w:szCs w:val="18"/>
              </w:rPr>
            </w:pPr>
          </w:p>
        </w:tc>
        <w:tc>
          <w:tcPr>
            <w:tcW w:w="1800" w:type="dxa"/>
          </w:tcPr>
          <w:p w:rsidR="00FE4B5C" w:rsidRPr="00174132" w:rsidRDefault="00FE4B5C" w:rsidP="00174132">
            <w:pPr>
              <w:spacing w:after="0" w:line="240" w:lineRule="auto"/>
              <w:jc w:val="both"/>
              <w:rPr>
                <w:rFonts w:ascii="Arial" w:hAnsi="Arial" w:cs="Arial"/>
                <w:b/>
                <w:bCs/>
                <w:sz w:val="18"/>
                <w:szCs w:val="18"/>
              </w:rPr>
            </w:pPr>
          </w:p>
        </w:tc>
        <w:tc>
          <w:tcPr>
            <w:tcW w:w="1417" w:type="dxa"/>
          </w:tcPr>
          <w:p w:rsidR="00FE4B5C" w:rsidRPr="00174132" w:rsidRDefault="00FE4B5C" w:rsidP="00174132">
            <w:pPr>
              <w:spacing w:after="0" w:line="240" w:lineRule="auto"/>
              <w:jc w:val="both"/>
              <w:rPr>
                <w:rFonts w:ascii="Arial" w:hAnsi="Arial" w:cs="Arial"/>
                <w:b/>
                <w:bCs/>
                <w:sz w:val="18"/>
                <w:szCs w:val="18"/>
              </w:rPr>
            </w:pPr>
          </w:p>
        </w:tc>
        <w:tc>
          <w:tcPr>
            <w:tcW w:w="1747" w:type="dxa"/>
          </w:tcPr>
          <w:p w:rsidR="00FE4B5C" w:rsidRPr="00174132" w:rsidRDefault="00FE4B5C" w:rsidP="00174132">
            <w:pPr>
              <w:spacing w:after="0" w:line="240" w:lineRule="auto"/>
              <w:jc w:val="both"/>
              <w:rPr>
                <w:rFonts w:ascii="Arial" w:hAnsi="Arial" w:cs="Arial"/>
                <w:b/>
                <w:bCs/>
                <w:sz w:val="18"/>
                <w:szCs w:val="18"/>
              </w:rPr>
            </w:pPr>
          </w:p>
        </w:tc>
      </w:tr>
      <w:tr w:rsidR="00FE4B5C" w:rsidRPr="00174132">
        <w:tc>
          <w:tcPr>
            <w:tcW w:w="2718" w:type="dxa"/>
          </w:tcPr>
          <w:p w:rsidR="00FE4B5C" w:rsidRPr="00174132" w:rsidRDefault="00FE4B5C" w:rsidP="00174132">
            <w:pPr>
              <w:spacing w:after="0" w:line="240" w:lineRule="auto"/>
              <w:ind w:left="720"/>
              <w:jc w:val="both"/>
              <w:rPr>
                <w:rFonts w:ascii="Arial" w:hAnsi="Arial" w:cs="Arial"/>
                <w:sz w:val="18"/>
                <w:szCs w:val="18"/>
              </w:rPr>
            </w:pPr>
            <w:r w:rsidRPr="00174132">
              <w:rPr>
                <w:rFonts w:ascii="Arial" w:hAnsi="Arial" w:cs="Arial"/>
                <w:sz w:val="18"/>
                <w:szCs w:val="18"/>
              </w:rPr>
              <w:t>Local</w:t>
            </w: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17,453</w:t>
            </w:r>
          </w:p>
        </w:tc>
        <w:tc>
          <w:tcPr>
            <w:tcW w:w="180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N/A</w:t>
            </w:r>
          </w:p>
        </w:tc>
        <w:tc>
          <w:tcPr>
            <w:tcW w:w="1417"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63,243</w:t>
            </w:r>
          </w:p>
        </w:tc>
        <w:tc>
          <w:tcPr>
            <w:tcW w:w="1747"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r>
      <w:tr w:rsidR="00FE4B5C" w:rsidRPr="00174132">
        <w:trPr>
          <w:trHeight w:val="252"/>
        </w:trPr>
        <w:tc>
          <w:tcPr>
            <w:tcW w:w="2718" w:type="dxa"/>
          </w:tcPr>
          <w:p w:rsidR="00FE4B5C" w:rsidRPr="00174132" w:rsidRDefault="00FE4B5C" w:rsidP="00174132">
            <w:pPr>
              <w:tabs>
                <w:tab w:val="left" w:pos="1260"/>
              </w:tabs>
              <w:spacing w:after="0" w:line="240" w:lineRule="auto"/>
              <w:ind w:left="720"/>
              <w:jc w:val="both"/>
              <w:rPr>
                <w:rFonts w:ascii="Arial" w:hAnsi="Arial" w:cs="Arial"/>
                <w:sz w:val="18"/>
                <w:szCs w:val="18"/>
              </w:rPr>
            </w:pPr>
            <w:r w:rsidRPr="00174132">
              <w:rPr>
                <w:rFonts w:ascii="Arial" w:hAnsi="Arial" w:cs="Arial"/>
                <w:sz w:val="18"/>
                <w:szCs w:val="18"/>
              </w:rPr>
              <w:t>Singapore</w:t>
            </w: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4,849</w:t>
            </w:r>
          </w:p>
        </w:tc>
        <w:tc>
          <w:tcPr>
            <w:tcW w:w="180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c>
          <w:tcPr>
            <w:tcW w:w="1417"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11,503</w:t>
            </w:r>
          </w:p>
        </w:tc>
        <w:tc>
          <w:tcPr>
            <w:tcW w:w="1747"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r>
      <w:tr w:rsidR="00FE4B5C" w:rsidRPr="00174132">
        <w:trPr>
          <w:trHeight w:val="198"/>
        </w:trPr>
        <w:tc>
          <w:tcPr>
            <w:tcW w:w="2718" w:type="dxa"/>
          </w:tcPr>
          <w:p w:rsidR="00FE4B5C" w:rsidRPr="00174132" w:rsidRDefault="00FE4B5C" w:rsidP="00174132">
            <w:pPr>
              <w:tabs>
                <w:tab w:val="left" w:pos="360"/>
              </w:tabs>
              <w:spacing w:after="0" w:line="240" w:lineRule="auto"/>
              <w:ind w:left="720"/>
              <w:jc w:val="both"/>
              <w:rPr>
                <w:rFonts w:ascii="Arial" w:hAnsi="Arial" w:cs="Arial"/>
                <w:sz w:val="18"/>
                <w:szCs w:val="18"/>
              </w:rPr>
            </w:pPr>
            <w:r w:rsidRPr="00174132">
              <w:rPr>
                <w:rFonts w:ascii="Arial" w:hAnsi="Arial" w:cs="Arial"/>
                <w:sz w:val="18"/>
                <w:szCs w:val="18"/>
              </w:rPr>
              <w:t>Indonesia</w:t>
            </w: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478</w:t>
            </w:r>
          </w:p>
        </w:tc>
        <w:tc>
          <w:tcPr>
            <w:tcW w:w="180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c>
          <w:tcPr>
            <w:tcW w:w="1417"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1,478</w:t>
            </w:r>
          </w:p>
        </w:tc>
        <w:tc>
          <w:tcPr>
            <w:tcW w:w="1747"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r>
      <w:tr w:rsidR="00FE4B5C" w:rsidRPr="00174132">
        <w:tc>
          <w:tcPr>
            <w:tcW w:w="2718" w:type="dxa"/>
          </w:tcPr>
          <w:p w:rsidR="00FE4B5C" w:rsidRPr="00174132" w:rsidRDefault="00FE4B5C" w:rsidP="00174132">
            <w:pPr>
              <w:tabs>
                <w:tab w:val="left" w:pos="360"/>
              </w:tabs>
              <w:spacing w:after="0" w:line="240" w:lineRule="auto"/>
              <w:ind w:left="720"/>
              <w:jc w:val="both"/>
              <w:rPr>
                <w:rFonts w:ascii="Arial" w:hAnsi="Arial" w:cs="Arial"/>
                <w:sz w:val="18"/>
                <w:szCs w:val="18"/>
              </w:rPr>
            </w:pPr>
            <w:r w:rsidRPr="00174132">
              <w:rPr>
                <w:rFonts w:ascii="Arial" w:hAnsi="Arial" w:cs="Arial"/>
                <w:sz w:val="18"/>
                <w:szCs w:val="18"/>
              </w:rPr>
              <w:t xml:space="preserve">United Kingdom </w:t>
            </w: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192</w:t>
            </w:r>
          </w:p>
        </w:tc>
        <w:tc>
          <w:tcPr>
            <w:tcW w:w="180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c>
          <w:tcPr>
            <w:tcW w:w="1417"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931</w:t>
            </w:r>
          </w:p>
        </w:tc>
        <w:tc>
          <w:tcPr>
            <w:tcW w:w="1747"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r>
      <w:tr w:rsidR="00FE4B5C" w:rsidRPr="00174132">
        <w:tc>
          <w:tcPr>
            <w:tcW w:w="2718" w:type="dxa"/>
          </w:tcPr>
          <w:p w:rsidR="00FE4B5C" w:rsidRPr="00174132" w:rsidRDefault="00FE4B5C" w:rsidP="00174132">
            <w:pPr>
              <w:tabs>
                <w:tab w:val="left" w:pos="360"/>
              </w:tabs>
              <w:spacing w:after="0" w:line="240" w:lineRule="auto"/>
              <w:ind w:left="720"/>
              <w:jc w:val="both"/>
              <w:rPr>
                <w:rFonts w:ascii="Arial" w:hAnsi="Arial" w:cs="Arial"/>
                <w:sz w:val="18"/>
                <w:szCs w:val="18"/>
              </w:rPr>
            </w:pPr>
            <w:r w:rsidRPr="00174132">
              <w:rPr>
                <w:rFonts w:ascii="Arial" w:hAnsi="Arial" w:cs="Arial"/>
                <w:sz w:val="18"/>
                <w:szCs w:val="18"/>
              </w:rPr>
              <w:t>Papua New Guinea</w:t>
            </w: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3,356</w:t>
            </w:r>
          </w:p>
        </w:tc>
        <w:tc>
          <w:tcPr>
            <w:tcW w:w="180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c>
          <w:tcPr>
            <w:tcW w:w="1417"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5,703</w:t>
            </w:r>
          </w:p>
        </w:tc>
        <w:tc>
          <w:tcPr>
            <w:tcW w:w="1747"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r>
      <w:tr w:rsidR="00FE4B5C" w:rsidRPr="00174132">
        <w:tc>
          <w:tcPr>
            <w:tcW w:w="2718" w:type="dxa"/>
          </w:tcPr>
          <w:p w:rsidR="00FE4B5C" w:rsidRPr="00174132" w:rsidRDefault="00FE4B5C" w:rsidP="00174132">
            <w:pPr>
              <w:spacing w:after="0" w:line="240" w:lineRule="auto"/>
              <w:ind w:left="720"/>
              <w:jc w:val="both"/>
              <w:rPr>
                <w:rFonts w:ascii="Arial" w:hAnsi="Arial" w:cs="Arial"/>
                <w:sz w:val="18"/>
                <w:szCs w:val="18"/>
              </w:rPr>
            </w:pPr>
            <w:r w:rsidRPr="00174132">
              <w:rPr>
                <w:rFonts w:ascii="Arial" w:hAnsi="Arial" w:cs="Arial"/>
                <w:sz w:val="18"/>
                <w:szCs w:val="18"/>
              </w:rPr>
              <w:t>Other countries</w:t>
            </w:r>
          </w:p>
        </w:tc>
        <w:tc>
          <w:tcPr>
            <w:tcW w:w="1620" w:type="dxa"/>
            <w:tcBorders>
              <w:bottom w:val="single" w:sz="4" w:space="0" w:color="auto"/>
            </w:tcBorders>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21</w:t>
            </w:r>
          </w:p>
        </w:tc>
        <w:tc>
          <w:tcPr>
            <w:tcW w:w="1800" w:type="dxa"/>
            <w:tcBorders>
              <w:bottom w:val="single" w:sz="4" w:space="0" w:color="auto"/>
            </w:tcBorders>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c>
          <w:tcPr>
            <w:tcW w:w="1417" w:type="dxa"/>
            <w:tcBorders>
              <w:bottom w:val="single" w:sz="4" w:space="0" w:color="auto"/>
            </w:tcBorders>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86</w:t>
            </w:r>
          </w:p>
        </w:tc>
        <w:tc>
          <w:tcPr>
            <w:tcW w:w="1747" w:type="dxa"/>
            <w:tcBorders>
              <w:bottom w:val="single" w:sz="4" w:space="0" w:color="auto"/>
            </w:tcBorders>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sz w:val="18"/>
                <w:szCs w:val="18"/>
              </w:rPr>
              <w:t>N/A</w:t>
            </w:r>
          </w:p>
        </w:tc>
      </w:tr>
      <w:tr w:rsidR="00FE4B5C" w:rsidRPr="00174132">
        <w:tc>
          <w:tcPr>
            <w:tcW w:w="2718" w:type="dxa"/>
          </w:tcPr>
          <w:p w:rsidR="00FE4B5C" w:rsidRPr="00174132" w:rsidRDefault="00FE4B5C" w:rsidP="00174132">
            <w:pPr>
              <w:spacing w:after="0" w:line="240" w:lineRule="auto"/>
              <w:jc w:val="both"/>
              <w:rPr>
                <w:rFonts w:ascii="Arial" w:hAnsi="Arial" w:cs="Arial"/>
                <w:b/>
                <w:bCs/>
                <w:sz w:val="18"/>
                <w:szCs w:val="18"/>
              </w:rPr>
            </w:pPr>
          </w:p>
        </w:tc>
        <w:tc>
          <w:tcPr>
            <w:tcW w:w="1620" w:type="dxa"/>
            <w:tcBorders>
              <w:top w:val="single" w:sz="4" w:space="0" w:color="auto"/>
              <w:bottom w:val="double" w:sz="4" w:space="0" w:color="auto"/>
            </w:tcBorders>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26,349</w:t>
            </w:r>
          </w:p>
        </w:tc>
        <w:tc>
          <w:tcPr>
            <w:tcW w:w="1800" w:type="dxa"/>
            <w:tcBorders>
              <w:top w:val="single" w:sz="4" w:space="0" w:color="auto"/>
              <w:bottom w:val="double" w:sz="4" w:space="0" w:color="auto"/>
            </w:tcBorders>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N/A</w:t>
            </w:r>
          </w:p>
        </w:tc>
        <w:tc>
          <w:tcPr>
            <w:tcW w:w="1417" w:type="dxa"/>
            <w:tcBorders>
              <w:top w:val="single" w:sz="4" w:space="0" w:color="auto"/>
              <w:bottom w:val="double" w:sz="4" w:space="0" w:color="auto"/>
            </w:tcBorders>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82,944</w:t>
            </w:r>
          </w:p>
        </w:tc>
        <w:tc>
          <w:tcPr>
            <w:tcW w:w="1747" w:type="dxa"/>
            <w:tcBorders>
              <w:top w:val="single" w:sz="4" w:space="0" w:color="auto"/>
              <w:bottom w:val="double" w:sz="4" w:space="0" w:color="auto"/>
            </w:tcBorders>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N/A</w:t>
            </w:r>
          </w:p>
        </w:tc>
      </w:tr>
    </w:tbl>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firstLine="720"/>
        <w:jc w:val="both"/>
        <w:rPr>
          <w:rFonts w:ascii="Arial" w:hAnsi="Arial" w:cs="Arial"/>
          <w:sz w:val="18"/>
          <w:szCs w:val="18"/>
        </w:rPr>
      </w:pPr>
      <w:r>
        <w:rPr>
          <w:rFonts w:ascii="Arial" w:hAnsi="Arial" w:cs="Arial"/>
          <w:sz w:val="18"/>
          <w:szCs w:val="18"/>
        </w:rPr>
        <w:t>No comparative figures are available as this is the first interim financial report being announced.</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Pr="00B2736A" w:rsidRDefault="00FE4B5C" w:rsidP="00011292">
      <w:pPr>
        <w:spacing w:after="0" w:line="240" w:lineRule="auto"/>
        <w:jc w:val="both"/>
        <w:rPr>
          <w:rFonts w:ascii="Arial" w:hAnsi="Arial" w:cs="Arial"/>
          <w:b/>
          <w:bCs/>
          <w:sz w:val="18"/>
          <w:szCs w:val="18"/>
        </w:rPr>
      </w:pPr>
      <w:r w:rsidRPr="00B2736A">
        <w:rPr>
          <w:rFonts w:ascii="Arial" w:hAnsi="Arial" w:cs="Arial"/>
          <w:b/>
          <w:bCs/>
          <w:sz w:val="18"/>
          <w:szCs w:val="18"/>
        </w:rPr>
        <w:t>A11.</w:t>
      </w:r>
      <w:r>
        <w:rPr>
          <w:rFonts w:ascii="Arial" w:hAnsi="Arial" w:cs="Arial"/>
          <w:b/>
          <w:bCs/>
          <w:sz w:val="18"/>
          <w:szCs w:val="18"/>
        </w:rPr>
        <w:tab/>
        <w:t>Material e</w:t>
      </w:r>
      <w:r w:rsidRPr="00B2736A">
        <w:rPr>
          <w:rFonts w:ascii="Arial" w:hAnsi="Arial" w:cs="Arial"/>
          <w:b/>
          <w:bCs/>
          <w:sz w:val="18"/>
          <w:szCs w:val="18"/>
        </w:rPr>
        <w:t>vent subsequent to the balance sheet date</w:t>
      </w:r>
    </w:p>
    <w:p w:rsidR="00FE4B5C" w:rsidRDefault="00FE4B5C" w:rsidP="00011292">
      <w:pPr>
        <w:spacing w:after="0" w:line="240" w:lineRule="auto"/>
        <w:jc w:val="both"/>
        <w:rPr>
          <w:rFonts w:ascii="Arial" w:hAnsi="Arial" w:cs="Arial"/>
          <w:sz w:val="18"/>
          <w:szCs w:val="18"/>
          <w:lang w:val="en-GB"/>
        </w:rPr>
      </w:pPr>
    </w:p>
    <w:p w:rsidR="00FE4B5C" w:rsidRDefault="00FE4B5C" w:rsidP="00011292">
      <w:pPr>
        <w:spacing w:after="0" w:line="240" w:lineRule="auto"/>
        <w:ind w:left="720"/>
        <w:jc w:val="both"/>
        <w:rPr>
          <w:rFonts w:ascii="Arial" w:hAnsi="Arial" w:cs="Arial"/>
          <w:sz w:val="18"/>
          <w:szCs w:val="18"/>
        </w:rPr>
      </w:pPr>
      <w:r>
        <w:rPr>
          <w:rFonts w:ascii="Arial" w:hAnsi="Arial" w:cs="Arial"/>
          <w:sz w:val="18"/>
          <w:szCs w:val="18"/>
        </w:rPr>
        <w:t>T</w:t>
      </w:r>
      <w:r w:rsidRPr="00B92F26">
        <w:rPr>
          <w:rFonts w:ascii="Arial" w:hAnsi="Arial" w:cs="Arial"/>
          <w:sz w:val="18"/>
          <w:szCs w:val="18"/>
        </w:rPr>
        <w:t>here were no material events subsequent to the end of the current</w:t>
      </w:r>
      <w:r>
        <w:rPr>
          <w:rFonts w:ascii="Arial" w:hAnsi="Arial" w:cs="Arial"/>
          <w:sz w:val="18"/>
          <w:szCs w:val="18"/>
        </w:rPr>
        <w:t xml:space="preserve"> </w:t>
      </w:r>
      <w:r w:rsidRPr="00B92F26">
        <w:rPr>
          <w:rFonts w:ascii="Arial" w:hAnsi="Arial" w:cs="Arial"/>
          <w:sz w:val="18"/>
          <w:szCs w:val="18"/>
        </w:rPr>
        <w:t>interim period that have not been reflected in this interim financial report.</w:t>
      </w:r>
    </w:p>
    <w:p w:rsidR="00FE4B5C" w:rsidRPr="00BA4757"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lang w:val="en-GB"/>
        </w:rPr>
      </w:pPr>
    </w:p>
    <w:p w:rsidR="00FE4B5C" w:rsidRPr="00C80CEF" w:rsidRDefault="00FE4B5C" w:rsidP="00011292">
      <w:pPr>
        <w:spacing w:after="0" w:line="240" w:lineRule="auto"/>
        <w:jc w:val="both"/>
        <w:rPr>
          <w:rFonts w:ascii="Arial" w:hAnsi="Arial" w:cs="Arial"/>
          <w:b/>
          <w:bCs/>
          <w:sz w:val="18"/>
          <w:szCs w:val="18"/>
          <w:lang w:val="en-GB"/>
        </w:rPr>
      </w:pPr>
      <w:r w:rsidRPr="00C80CEF">
        <w:rPr>
          <w:rFonts w:ascii="Arial" w:hAnsi="Arial" w:cs="Arial"/>
          <w:b/>
          <w:bCs/>
          <w:sz w:val="18"/>
          <w:szCs w:val="18"/>
          <w:lang w:val="en-GB"/>
        </w:rPr>
        <w:t>A1</w:t>
      </w:r>
      <w:r>
        <w:rPr>
          <w:rFonts w:ascii="Arial" w:hAnsi="Arial" w:cs="Arial"/>
          <w:b/>
          <w:bCs/>
          <w:sz w:val="18"/>
          <w:szCs w:val="18"/>
          <w:lang w:val="en-GB"/>
        </w:rPr>
        <w:t>2</w:t>
      </w:r>
      <w:r w:rsidRPr="00C80CEF">
        <w:rPr>
          <w:rFonts w:ascii="Arial" w:hAnsi="Arial" w:cs="Arial"/>
          <w:b/>
          <w:bCs/>
          <w:sz w:val="18"/>
          <w:szCs w:val="18"/>
          <w:lang w:val="en-GB"/>
        </w:rPr>
        <w:t>.</w:t>
      </w:r>
      <w:r>
        <w:rPr>
          <w:rFonts w:ascii="Arial" w:hAnsi="Arial" w:cs="Arial"/>
          <w:b/>
          <w:bCs/>
          <w:sz w:val="18"/>
          <w:szCs w:val="18"/>
          <w:lang w:val="en-GB"/>
        </w:rPr>
        <w:tab/>
      </w:r>
      <w:r w:rsidRPr="00C80CEF">
        <w:rPr>
          <w:rFonts w:ascii="Arial" w:hAnsi="Arial" w:cs="Arial"/>
          <w:b/>
          <w:bCs/>
          <w:sz w:val="18"/>
          <w:szCs w:val="18"/>
          <w:lang w:val="en-GB"/>
        </w:rPr>
        <w:t>Significant event during the period</w:t>
      </w:r>
    </w:p>
    <w:p w:rsidR="00FE4B5C" w:rsidRDefault="00FE4B5C" w:rsidP="00011292">
      <w:pPr>
        <w:spacing w:after="0" w:line="240" w:lineRule="auto"/>
        <w:ind w:left="90"/>
        <w:jc w:val="both"/>
        <w:rPr>
          <w:rFonts w:ascii="Arial" w:hAnsi="Arial" w:cs="Arial"/>
          <w:sz w:val="18"/>
          <w:szCs w:val="18"/>
          <w:lang w:val="en-GB"/>
        </w:rPr>
      </w:pPr>
    </w:p>
    <w:p w:rsidR="00FE4B5C" w:rsidRDefault="00FE4B5C" w:rsidP="00011292">
      <w:pPr>
        <w:spacing w:after="0" w:line="240" w:lineRule="auto"/>
        <w:ind w:firstLine="720"/>
        <w:jc w:val="both"/>
        <w:rPr>
          <w:rFonts w:ascii="Arial" w:hAnsi="Arial" w:cs="Arial"/>
          <w:sz w:val="18"/>
          <w:szCs w:val="18"/>
          <w:u w:val="single"/>
          <w:lang w:val="en-GB"/>
        </w:rPr>
      </w:pPr>
      <w:r>
        <w:rPr>
          <w:rFonts w:ascii="Arial" w:hAnsi="Arial" w:cs="Arial"/>
          <w:sz w:val="18"/>
          <w:szCs w:val="18"/>
          <w:lang w:val="en-GB"/>
        </w:rPr>
        <w:t>T</w:t>
      </w:r>
      <w:r w:rsidRPr="0057579D">
        <w:rPr>
          <w:rFonts w:ascii="Arial" w:hAnsi="Arial" w:cs="Arial"/>
          <w:sz w:val="18"/>
          <w:szCs w:val="18"/>
          <w:lang w:val="en-GB"/>
        </w:rPr>
        <w:t xml:space="preserve">here was no significant event </w:t>
      </w:r>
      <w:r w:rsidRPr="0057579D">
        <w:rPr>
          <w:rFonts w:ascii="Arial" w:hAnsi="Arial" w:cs="Arial"/>
          <w:sz w:val="18"/>
          <w:szCs w:val="18"/>
        </w:rPr>
        <w:t xml:space="preserve">that had a material effect in the current </w:t>
      </w:r>
      <w:r>
        <w:rPr>
          <w:rFonts w:ascii="Arial" w:hAnsi="Arial" w:cs="Arial"/>
          <w:sz w:val="18"/>
          <w:szCs w:val="18"/>
        </w:rPr>
        <w:t xml:space="preserve">financial </w:t>
      </w:r>
      <w:r w:rsidRPr="0057579D">
        <w:rPr>
          <w:rFonts w:ascii="Arial" w:hAnsi="Arial" w:cs="Arial"/>
          <w:sz w:val="18"/>
          <w:szCs w:val="18"/>
        </w:rPr>
        <w:t>quarter.</w:t>
      </w:r>
    </w:p>
    <w:p w:rsidR="00FE4B5C" w:rsidRDefault="00FE4B5C" w:rsidP="00011292">
      <w:pPr>
        <w:spacing w:after="0" w:line="240" w:lineRule="auto"/>
        <w:jc w:val="both"/>
        <w:rPr>
          <w:rFonts w:ascii="Arial" w:hAnsi="Arial" w:cs="Arial"/>
          <w:b/>
          <w:bCs/>
          <w:sz w:val="18"/>
          <w:szCs w:val="18"/>
          <w:lang w:val="en-GB"/>
        </w:rPr>
      </w:pPr>
    </w:p>
    <w:p w:rsidR="00FE4B5C" w:rsidRDefault="00FE4B5C" w:rsidP="00011292">
      <w:pPr>
        <w:spacing w:after="0" w:line="240" w:lineRule="auto"/>
        <w:jc w:val="both"/>
        <w:rPr>
          <w:rFonts w:ascii="Arial" w:hAnsi="Arial" w:cs="Arial"/>
          <w:b/>
          <w:bCs/>
          <w:sz w:val="18"/>
          <w:szCs w:val="18"/>
          <w:lang w:val="en-GB"/>
        </w:rPr>
      </w:pPr>
    </w:p>
    <w:p w:rsidR="00FE4B5C" w:rsidRPr="00B2736A" w:rsidRDefault="00FE4B5C" w:rsidP="00011292">
      <w:pPr>
        <w:spacing w:after="0" w:line="240" w:lineRule="auto"/>
        <w:jc w:val="both"/>
        <w:rPr>
          <w:rFonts w:ascii="Arial" w:hAnsi="Arial" w:cs="Arial"/>
          <w:b/>
          <w:bCs/>
          <w:sz w:val="18"/>
          <w:szCs w:val="18"/>
          <w:lang w:val="en-GB"/>
        </w:rPr>
      </w:pPr>
      <w:r w:rsidRPr="00B2736A">
        <w:rPr>
          <w:rFonts w:ascii="Arial" w:hAnsi="Arial" w:cs="Arial"/>
          <w:b/>
          <w:bCs/>
          <w:sz w:val="18"/>
          <w:szCs w:val="18"/>
          <w:lang w:val="en-GB"/>
        </w:rPr>
        <w:t>A1</w:t>
      </w:r>
      <w:r>
        <w:rPr>
          <w:rFonts w:ascii="Arial" w:hAnsi="Arial" w:cs="Arial"/>
          <w:b/>
          <w:bCs/>
          <w:sz w:val="18"/>
          <w:szCs w:val="18"/>
          <w:lang w:val="en-GB"/>
        </w:rPr>
        <w:t>3</w:t>
      </w:r>
      <w:r w:rsidRPr="00B2736A">
        <w:rPr>
          <w:rFonts w:ascii="Arial" w:hAnsi="Arial" w:cs="Arial"/>
          <w:b/>
          <w:bCs/>
          <w:sz w:val="18"/>
          <w:szCs w:val="18"/>
          <w:lang w:val="en-GB"/>
        </w:rPr>
        <w:t>.</w:t>
      </w:r>
      <w:r>
        <w:rPr>
          <w:rFonts w:ascii="Arial" w:hAnsi="Arial" w:cs="Arial"/>
          <w:b/>
          <w:bCs/>
          <w:sz w:val="18"/>
          <w:szCs w:val="18"/>
          <w:lang w:val="en-GB"/>
        </w:rPr>
        <w:tab/>
      </w:r>
      <w:r w:rsidRPr="00B2736A">
        <w:rPr>
          <w:rFonts w:ascii="Arial" w:hAnsi="Arial" w:cs="Arial"/>
          <w:b/>
          <w:bCs/>
          <w:sz w:val="18"/>
          <w:szCs w:val="18"/>
          <w:lang w:val="en-GB"/>
        </w:rPr>
        <w:t>Changes in Group’s composition</w:t>
      </w:r>
    </w:p>
    <w:p w:rsidR="00FE4B5C" w:rsidRPr="00BA4757" w:rsidRDefault="00FE4B5C" w:rsidP="00011292">
      <w:pPr>
        <w:spacing w:after="0" w:line="240" w:lineRule="auto"/>
        <w:jc w:val="both"/>
        <w:rPr>
          <w:rFonts w:ascii="Arial" w:hAnsi="Arial" w:cs="Arial"/>
          <w:sz w:val="18"/>
          <w:szCs w:val="18"/>
          <w:lang w:val="en-GB"/>
        </w:rPr>
      </w:pPr>
    </w:p>
    <w:p w:rsidR="00FE4B5C" w:rsidRDefault="00FE4B5C" w:rsidP="00D8004F">
      <w:pPr>
        <w:spacing w:after="0" w:line="240" w:lineRule="auto"/>
        <w:ind w:left="720"/>
        <w:jc w:val="both"/>
        <w:rPr>
          <w:rFonts w:ascii="Arial" w:hAnsi="Arial" w:cs="Arial"/>
          <w:sz w:val="18"/>
          <w:szCs w:val="18"/>
        </w:rPr>
      </w:pPr>
      <w:r w:rsidRPr="007F35E0">
        <w:rPr>
          <w:rFonts w:ascii="Arial" w:hAnsi="Arial" w:cs="Arial"/>
          <w:sz w:val="18"/>
          <w:szCs w:val="18"/>
        </w:rPr>
        <w:t xml:space="preserve">In conjunction with and in preparation for the proposed listing </w:t>
      </w:r>
      <w:r>
        <w:rPr>
          <w:rFonts w:ascii="Arial" w:hAnsi="Arial" w:cs="Arial"/>
          <w:sz w:val="18"/>
          <w:szCs w:val="18"/>
        </w:rPr>
        <w:t xml:space="preserve">of and quotation for the entire issued and paid-up share capital of the Company on the Main Market of Bursa Malaysia, the Company acquired additional </w:t>
      </w:r>
      <w:r w:rsidRPr="00834FFB">
        <w:rPr>
          <w:rFonts w:ascii="Arial" w:hAnsi="Arial" w:cs="Arial"/>
          <w:sz w:val="18"/>
          <w:szCs w:val="18"/>
        </w:rPr>
        <w:t>588,000 ordinary shares of RM1.00 each (" Sale Shares"), representing 24% equity interest in PTM for a purchase consideration of RM</w:t>
      </w:r>
      <w:r>
        <w:rPr>
          <w:rFonts w:ascii="Arial" w:hAnsi="Arial" w:cs="Arial"/>
          <w:sz w:val="18"/>
          <w:szCs w:val="18"/>
        </w:rPr>
        <w:t>438</w:t>
      </w:r>
      <w:r w:rsidRPr="00834FFB">
        <w:rPr>
          <w:rFonts w:ascii="Arial" w:hAnsi="Arial" w:cs="Arial"/>
          <w:sz w:val="18"/>
          <w:szCs w:val="18"/>
        </w:rPr>
        <w:t xml:space="preserve">,000 which was fully satisfied by the issuance of </w:t>
      </w:r>
      <w:r>
        <w:rPr>
          <w:rFonts w:ascii="Arial" w:hAnsi="Arial" w:cs="Arial"/>
          <w:sz w:val="18"/>
          <w:szCs w:val="18"/>
        </w:rPr>
        <w:t>876</w:t>
      </w:r>
      <w:r w:rsidRPr="00834FFB">
        <w:rPr>
          <w:rFonts w:ascii="Arial" w:hAnsi="Arial" w:cs="Arial"/>
          <w:sz w:val="18"/>
          <w:szCs w:val="18"/>
        </w:rPr>
        <w:t>,000 Ordinary Shares to the respective vendors of PTM at an issue price of RM0.50 per Ordinary Share</w:t>
      </w:r>
      <w:r>
        <w:rPr>
          <w:rFonts w:ascii="Arial" w:hAnsi="Arial" w:cs="Arial"/>
          <w:sz w:val="18"/>
          <w:szCs w:val="18"/>
        </w:rPr>
        <w:t>.</w:t>
      </w:r>
    </w:p>
    <w:p w:rsidR="00FE4B5C" w:rsidRPr="00D8004F" w:rsidRDefault="00FE4B5C" w:rsidP="00D8004F">
      <w:pPr>
        <w:spacing w:after="0" w:line="240" w:lineRule="auto"/>
        <w:ind w:left="720"/>
        <w:jc w:val="both"/>
        <w:rPr>
          <w:rFonts w:ascii="Arial" w:hAnsi="Arial" w:cs="Arial"/>
          <w:sz w:val="18"/>
          <w:szCs w:val="18"/>
        </w:rPr>
      </w:pPr>
    </w:p>
    <w:p w:rsidR="00FE4B5C" w:rsidRDefault="00FE4B5C" w:rsidP="00D8004F">
      <w:pPr>
        <w:spacing w:after="0" w:line="240" w:lineRule="auto"/>
        <w:ind w:firstLine="720"/>
        <w:jc w:val="both"/>
        <w:rPr>
          <w:rFonts w:ascii="Arial" w:hAnsi="Arial" w:cs="Arial"/>
          <w:sz w:val="18"/>
          <w:szCs w:val="18"/>
        </w:rPr>
      </w:pPr>
      <w:r w:rsidRPr="00D8004F">
        <w:rPr>
          <w:rFonts w:ascii="Arial" w:hAnsi="Arial" w:cs="Arial"/>
          <w:sz w:val="18"/>
          <w:szCs w:val="18"/>
        </w:rPr>
        <w:t>The Acquisition was completed on 1 October 2010.</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b/>
          <w:bCs/>
          <w:sz w:val="18"/>
          <w:szCs w:val="18"/>
        </w:rPr>
      </w:pPr>
      <w:r w:rsidRPr="00B2736A">
        <w:rPr>
          <w:rFonts w:ascii="Arial" w:hAnsi="Arial" w:cs="Arial"/>
          <w:b/>
          <w:bCs/>
          <w:sz w:val="18"/>
          <w:szCs w:val="18"/>
        </w:rPr>
        <w:t>A14.</w:t>
      </w:r>
      <w:r>
        <w:rPr>
          <w:rFonts w:ascii="Arial" w:hAnsi="Arial" w:cs="Arial"/>
          <w:b/>
          <w:bCs/>
          <w:sz w:val="18"/>
          <w:szCs w:val="18"/>
        </w:rPr>
        <w:tab/>
      </w:r>
      <w:r w:rsidRPr="00B2736A">
        <w:rPr>
          <w:rFonts w:ascii="Arial" w:hAnsi="Arial" w:cs="Arial"/>
          <w:b/>
          <w:bCs/>
          <w:sz w:val="18"/>
          <w:szCs w:val="18"/>
        </w:rPr>
        <w:t>Contingencies</w:t>
      </w:r>
    </w:p>
    <w:p w:rsidR="00FE4B5C" w:rsidRPr="00B2736A"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ind w:firstLine="720"/>
        <w:jc w:val="both"/>
        <w:rPr>
          <w:rFonts w:ascii="Arial" w:hAnsi="Arial" w:cs="Arial"/>
          <w:sz w:val="18"/>
          <w:szCs w:val="18"/>
          <w:lang w:val="en-GB"/>
        </w:rPr>
      </w:pPr>
      <w:r w:rsidRPr="00297A94">
        <w:rPr>
          <w:rFonts w:ascii="Arial" w:hAnsi="Arial" w:cs="Arial"/>
          <w:sz w:val="18"/>
          <w:szCs w:val="18"/>
          <w:lang w:val="en-GB"/>
        </w:rPr>
        <w:t>There were no material contingent liabilities or contingent assets of the Group for the current</w:t>
      </w:r>
      <w:r>
        <w:rPr>
          <w:rFonts w:ascii="Arial" w:hAnsi="Arial" w:cs="Arial"/>
          <w:sz w:val="18"/>
          <w:szCs w:val="18"/>
          <w:lang w:val="en-GB"/>
        </w:rPr>
        <w:t xml:space="preserve"> financial</w:t>
      </w:r>
      <w:r w:rsidRPr="00297A94">
        <w:rPr>
          <w:rFonts w:ascii="Arial" w:hAnsi="Arial" w:cs="Arial"/>
          <w:sz w:val="18"/>
          <w:szCs w:val="18"/>
          <w:lang w:val="en-GB"/>
        </w:rPr>
        <w:t xml:space="preserve"> quarter</w:t>
      </w:r>
      <w:r>
        <w:rPr>
          <w:rFonts w:ascii="Arial" w:hAnsi="Arial" w:cs="Arial"/>
          <w:sz w:val="18"/>
          <w:szCs w:val="18"/>
          <w:lang w:val="en-GB"/>
        </w:rPr>
        <w:t>.</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Pr="0042183E" w:rsidRDefault="00FE4B5C" w:rsidP="00011292">
      <w:pPr>
        <w:spacing w:after="0" w:line="240" w:lineRule="auto"/>
        <w:jc w:val="both"/>
        <w:rPr>
          <w:rFonts w:ascii="Arial" w:hAnsi="Arial" w:cs="Arial"/>
          <w:b/>
          <w:bCs/>
          <w:sz w:val="18"/>
          <w:szCs w:val="18"/>
        </w:rPr>
      </w:pPr>
      <w:r w:rsidRPr="0042183E">
        <w:rPr>
          <w:rFonts w:ascii="Arial" w:hAnsi="Arial" w:cs="Arial"/>
          <w:b/>
          <w:bCs/>
          <w:sz w:val="18"/>
          <w:szCs w:val="18"/>
        </w:rPr>
        <w:t>A15.</w:t>
      </w:r>
      <w:r>
        <w:rPr>
          <w:rFonts w:ascii="Arial" w:hAnsi="Arial" w:cs="Arial"/>
          <w:b/>
          <w:bCs/>
          <w:sz w:val="18"/>
          <w:szCs w:val="18"/>
        </w:rPr>
        <w:tab/>
      </w:r>
      <w:r w:rsidRPr="0042183E">
        <w:rPr>
          <w:rFonts w:ascii="Arial" w:hAnsi="Arial" w:cs="Arial"/>
          <w:b/>
          <w:bCs/>
          <w:sz w:val="18"/>
          <w:szCs w:val="18"/>
        </w:rPr>
        <w:t>Capital commitments</w:t>
      </w:r>
    </w:p>
    <w:p w:rsidR="00FE4B5C" w:rsidRDefault="00FE4B5C" w:rsidP="00011292">
      <w:pPr>
        <w:spacing w:after="0" w:line="240" w:lineRule="auto"/>
        <w:jc w:val="both"/>
        <w:rPr>
          <w:rFonts w:ascii="Arial" w:hAnsi="Arial" w:cs="Arial"/>
          <w:sz w:val="18"/>
          <w:szCs w:val="18"/>
        </w:rPr>
      </w:pPr>
    </w:p>
    <w:tbl>
      <w:tblPr>
        <w:tblW w:w="0" w:type="auto"/>
        <w:tblInd w:w="-106" w:type="dxa"/>
        <w:tblLook w:val="00A0"/>
      </w:tblPr>
      <w:tblGrid>
        <w:gridCol w:w="4734"/>
        <w:gridCol w:w="2433"/>
        <w:gridCol w:w="2078"/>
      </w:tblGrid>
      <w:tr w:rsidR="00FE4B5C" w:rsidRPr="00174132">
        <w:tc>
          <w:tcPr>
            <w:tcW w:w="4734" w:type="dxa"/>
          </w:tcPr>
          <w:p w:rsidR="00FE4B5C" w:rsidRPr="00174132" w:rsidRDefault="00FE4B5C" w:rsidP="00174132">
            <w:pPr>
              <w:spacing w:after="0" w:line="240" w:lineRule="auto"/>
              <w:ind w:left="720" w:right="-342"/>
              <w:jc w:val="both"/>
              <w:rPr>
                <w:rFonts w:ascii="Arial" w:hAnsi="Arial" w:cs="Arial"/>
                <w:sz w:val="18"/>
                <w:szCs w:val="18"/>
              </w:rPr>
            </w:pPr>
            <w:r w:rsidRPr="00174132">
              <w:rPr>
                <w:rFonts w:ascii="Arial" w:hAnsi="Arial" w:cs="Arial"/>
                <w:sz w:val="18"/>
                <w:szCs w:val="18"/>
              </w:rPr>
              <w:t>Capital expenditure as at the reporting date is asfollows:-</w:t>
            </w:r>
          </w:p>
        </w:tc>
        <w:tc>
          <w:tcPr>
            <w:tcW w:w="2433" w:type="dxa"/>
          </w:tcPr>
          <w:p w:rsidR="00FE4B5C" w:rsidRPr="00174132" w:rsidRDefault="00FE4B5C" w:rsidP="00174132">
            <w:pPr>
              <w:spacing w:after="0" w:line="240" w:lineRule="auto"/>
              <w:jc w:val="right"/>
              <w:rPr>
                <w:rFonts w:ascii="Arial" w:hAnsi="Arial" w:cs="Arial"/>
                <w:b/>
                <w:bCs/>
                <w:sz w:val="18"/>
                <w:szCs w:val="18"/>
              </w:rPr>
            </w:pP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Current Quarter</w:t>
            </w:r>
          </w:p>
        </w:tc>
        <w:tc>
          <w:tcPr>
            <w:tcW w:w="2078"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 xml:space="preserve">Cumulative </w:t>
            </w: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Period to date</w:t>
            </w:r>
          </w:p>
        </w:tc>
      </w:tr>
      <w:tr w:rsidR="00FE4B5C" w:rsidRPr="00174132">
        <w:tc>
          <w:tcPr>
            <w:tcW w:w="4734" w:type="dxa"/>
          </w:tcPr>
          <w:p w:rsidR="00FE4B5C" w:rsidRPr="00174132" w:rsidRDefault="00FE4B5C" w:rsidP="00174132">
            <w:pPr>
              <w:spacing w:after="0" w:line="240" w:lineRule="auto"/>
              <w:jc w:val="both"/>
              <w:rPr>
                <w:rFonts w:ascii="Arial" w:hAnsi="Arial" w:cs="Arial"/>
                <w:sz w:val="18"/>
                <w:szCs w:val="18"/>
              </w:rPr>
            </w:pPr>
          </w:p>
        </w:tc>
        <w:tc>
          <w:tcPr>
            <w:tcW w:w="2433"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31-Dec-2010</w:t>
            </w:r>
          </w:p>
        </w:tc>
        <w:tc>
          <w:tcPr>
            <w:tcW w:w="2078"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31-Dec-2010</w:t>
            </w:r>
          </w:p>
        </w:tc>
      </w:tr>
      <w:tr w:rsidR="00FE4B5C" w:rsidRPr="00174132">
        <w:tc>
          <w:tcPr>
            <w:tcW w:w="4734" w:type="dxa"/>
          </w:tcPr>
          <w:p w:rsidR="00FE4B5C" w:rsidRPr="00174132" w:rsidRDefault="00FE4B5C" w:rsidP="00174132">
            <w:pPr>
              <w:spacing w:after="0" w:line="240" w:lineRule="auto"/>
              <w:jc w:val="both"/>
              <w:rPr>
                <w:rFonts w:ascii="Arial" w:hAnsi="Arial" w:cs="Arial"/>
                <w:sz w:val="18"/>
                <w:szCs w:val="18"/>
              </w:rPr>
            </w:pPr>
          </w:p>
        </w:tc>
        <w:tc>
          <w:tcPr>
            <w:tcW w:w="2433"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RM’000</w:t>
            </w:r>
          </w:p>
        </w:tc>
        <w:tc>
          <w:tcPr>
            <w:tcW w:w="2078"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RM’000</w:t>
            </w:r>
          </w:p>
        </w:tc>
      </w:tr>
      <w:tr w:rsidR="00FE4B5C" w:rsidRPr="00174132">
        <w:tc>
          <w:tcPr>
            <w:tcW w:w="4734" w:type="dxa"/>
          </w:tcPr>
          <w:p w:rsidR="00FE4B5C" w:rsidRPr="00174132" w:rsidRDefault="00FE4B5C" w:rsidP="00174132">
            <w:pPr>
              <w:spacing w:after="0" w:line="240" w:lineRule="auto"/>
              <w:ind w:left="720"/>
              <w:jc w:val="both"/>
              <w:rPr>
                <w:rFonts w:ascii="Arial" w:hAnsi="Arial" w:cs="Arial"/>
                <w:sz w:val="18"/>
                <w:szCs w:val="18"/>
              </w:rPr>
            </w:pPr>
            <w:r w:rsidRPr="00174132">
              <w:rPr>
                <w:rFonts w:ascii="Arial" w:hAnsi="Arial" w:cs="Arial"/>
                <w:sz w:val="18"/>
                <w:szCs w:val="18"/>
              </w:rPr>
              <w:t>Approved and contracted for:</w:t>
            </w:r>
            <w:r w:rsidRPr="00174132">
              <w:rPr>
                <w:rFonts w:ascii="Arial" w:hAnsi="Arial" w:cs="Arial"/>
                <w:sz w:val="18"/>
                <w:szCs w:val="18"/>
              </w:rPr>
              <w:tab/>
            </w:r>
            <w:r w:rsidRPr="00174132">
              <w:rPr>
                <w:rFonts w:ascii="Arial" w:hAnsi="Arial" w:cs="Arial"/>
                <w:sz w:val="18"/>
                <w:szCs w:val="18"/>
              </w:rPr>
              <w:tab/>
            </w:r>
          </w:p>
          <w:p w:rsidR="00FE4B5C" w:rsidRPr="00174132" w:rsidRDefault="00FE4B5C" w:rsidP="00174132">
            <w:pPr>
              <w:spacing w:after="0" w:line="240" w:lineRule="auto"/>
              <w:ind w:left="720"/>
              <w:jc w:val="both"/>
              <w:rPr>
                <w:rFonts w:ascii="Arial" w:hAnsi="Arial" w:cs="Arial"/>
                <w:sz w:val="18"/>
                <w:szCs w:val="18"/>
              </w:rPr>
            </w:pPr>
            <w:r w:rsidRPr="00174132">
              <w:rPr>
                <w:rFonts w:ascii="Arial" w:hAnsi="Arial" w:cs="Arial"/>
                <w:sz w:val="18"/>
                <w:szCs w:val="18"/>
              </w:rPr>
              <w:t>Property, plant and equipment</w:t>
            </w:r>
          </w:p>
        </w:tc>
        <w:tc>
          <w:tcPr>
            <w:tcW w:w="2433" w:type="dxa"/>
          </w:tcPr>
          <w:p w:rsidR="00FE4B5C" w:rsidRPr="00174132" w:rsidRDefault="00FE4B5C" w:rsidP="00174132">
            <w:pPr>
              <w:spacing w:after="0" w:line="240" w:lineRule="auto"/>
              <w:jc w:val="right"/>
              <w:rPr>
                <w:rFonts w:ascii="Arial" w:hAnsi="Arial" w:cs="Arial"/>
                <w:sz w:val="18"/>
                <w:szCs w:val="18"/>
              </w:rPr>
            </w:pP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NIL</w:t>
            </w:r>
          </w:p>
        </w:tc>
        <w:tc>
          <w:tcPr>
            <w:tcW w:w="2078" w:type="dxa"/>
          </w:tcPr>
          <w:p w:rsidR="00FE4B5C" w:rsidRPr="00174132" w:rsidRDefault="00FE4B5C" w:rsidP="00174132">
            <w:pPr>
              <w:spacing w:after="0" w:line="240" w:lineRule="auto"/>
              <w:ind w:right="360"/>
              <w:jc w:val="right"/>
              <w:rPr>
                <w:rFonts w:ascii="Arial" w:hAnsi="Arial" w:cs="Arial"/>
                <w:sz w:val="18"/>
                <w:szCs w:val="18"/>
              </w:rPr>
            </w:pP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383</w:t>
            </w:r>
          </w:p>
        </w:tc>
      </w:tr>
      <w:tr w:rsidR="00FE4B5C" w:rsidRPr="00174132">
        <w:tc>
          <w:tcPr>
            <w:tcW w:w="4734" w:type="dxa"/>
          </w:tcPr>
          <w:p w:rsidR="00FE4B5C" w:rsidRPr="00174132" w:rsidRDefault="00FE4B5C" w:rsidP="00174132">
            <w:pPr>
              <w:spacing w:after="0" w:line="240" w:lineRule="auto"/>
              <w:jc w:val="both"/>
              <w:rPr>
                <w:rFonts w:ascii="Arial" w:hAnsi="Arial" w:cs="Arial"/>
                <w:sz w:val="18"/>
                <w:szCs w:val="18"/>
              </w:rPr>
            </w:pPr>
          </w:p>
        </w:tc>
        <w:tc>
          <w:tcPr>
            <w:tcW w:w="2433" w:type="dxa"/>
          </w:tcPr>
          <w:p w:rsidR="00FE4B5C" w:rsidRPr="00174132" w:rsidRDefault="00FE4B5C" w:rsidP="00174132">
            <w:pPr>
              <w:spacing w:after="0" w:line="240" w:lineRule="auto"/>
              <w:jc w:val="right"/>
              <w:rPr>
                <w:rFonts w:ascii="Arial" w:hAnsi="Arial" w:cs="Arial"/>
                <w:sz w:val="18"/>
                <w:szCs w:val="18"/>
              </w:rPr>
            </w:pPr>
          </w:p>
        </w:tc>
        <w:tc>
          <w:tcPr>
            <w:tcW w:w="2078" w:type="dxa"/>
          </w:tcPr>
          <w:p w:rsidR="00FE4B5C" w:rsidRPr="00174132" w:rsidRDefault="00FE4B5C" w:rsidP="00174132">
            <w:pPr>
              <w:spacing w:after="0" w:line="240" w:lineRule="auto"/>
              <w:ind w:right="360"/>
              <w:jc w:val="right"/>
              <w:rPr>
                <w:rFonts w:ascii="Arial" w:hAnsi="Arial" w:cs="Arial"/>
                <w:sz w:val="18"/>
                <w:szCs w:val="18"/>
              </w:rPr>
            </w:pPr>
          </w:p>
        </w:tc>
      </w:tr>
    </w:tbl>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b/>
          <w:bCs/>
          <w:sz w:val="18"/>
          <w:szCs w:val="18"/>
          <w:lang w:val="en-GB"/>
        </w:rPr>
      </w:pPr>
    </w:p>
    <w:tbl>
      <w:tblPr>
        <w:tblW w:w="0" w:type="auto"/>
        <w:tblInd w:w="-106" w:type="dxa"/>
        <w:tblLook w:val="00A0"/>
      </w:tblPr>
      <w:tblGrid>
        <w:gridCol w:w="4755"/>
        <w:gridCol w:w="2420"/>
        <w:gridCol w:w="2070"/>
      </w:tblGrid>
      <w:tr w:rsidR="00FE4B5C" w:rsidRPr="00174132">
        <w:tc>
          <w:tcPr>
            <w:tcW w:w="4755" w:type="dxa"/>
          </w:tcPr>
          <w:p w:rsidR="00FE4B5C" w:rsidRPr="00174132" w:rsidRDefault="00FE4B5C" w:rsidP="00174132">
            <w:pPr>
              <w:spacing w:after="0" w:line="240" w:lineRule="auto"/>
              <w:jc w:val="both"/>
              <w:rPr>
                <w:rFonts w:ascii="Arial" w:hAnsi="Arial" w:cs="Arial"/>
                <w:sz w:val="18"/>
                <w:szCs w:val="18"/>
              </w:rPr>
            </w:pPr>
            <w:r w:rsidRPr="00174132">
              <w:rPr>
                <w:rFonts w:ascii="Arial" w:hAnsi="Arial" w:cs="Arial"/>
                <w:b/>
                <w:bCs/>
                <w:sz w:val="18"/>
                <w:szCs w:val="18"/>
                <w:lang w:val="en-GB"/>
              </w:rPr>
              <w:t>A16.</w:t>
            </w:r>
            <w:r w:rsidRPr="00174132">
              <w:rPr>
                <w:rFonts w:ascii="Arial" w:hAnsi="Arial" w:cs="Arial"/>
                <w:b/>
                <w:bCs/>
                <w:sz w:val="18"/>
                <w:szCs w:val="18"/>
                <w:lang w:val="en-GB"/>
              </w:rPr>
              <w:tab/>
              <w:t>Related party transactions</w:t>
            </w:r>
          </w:p>
        </w:tc>
        <w:tc>
          <w:tcPr>
            <w:tcW w:w="2420" w:type="dxa"/>
          </w:tcPr>
          <w:p w:rsidR="00FE4B5C" w:rsidRPr="00174132" w:rsidRDefault="00FE4B5C" w:rsidP="00174132">
            <w:pPr>
              <w:spacing w:after="0" w:line="240" w:lineRule="auto"/>
              <w:jc w:val="right"/>
              <w:rPr>
                <w:rFonts w:ascii="Arial" w:hAnsi="Arial" w:cs="Arial"/>
                <w:b/>
                <w:bCs/>
                <w:sz w:val="18"/>
                <w:szCs w:val="18"/>
              </w:rPr>
            </w:pP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Current Quarter</w:t>
            </w:r>
          </w:p>
        </w:tc>
        <w:tc>
          <w:tcPr>
            <w:tcW w:w="207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 xml:space="preserve">Cumulative </w:t>
            </w: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Period</w:t>
            </w:r>
            <w:r>
              <w:rPr>
                <w:rFonts w:ascii="Arial" w:hAnsi="Arial" w:cs="Arial"/>
                <w:b/>
                <w:bCs/>
                <w:sz w:val="18"/>
                <w:szCs w:val="18"/>
              </w:rPr>
              <w:t xml:space="preserve"> </w:t>
            </w:r>
            <w:r w:rsidRPr="00174132">
              <w:rPr>
                <w:rFonts w:ascii="Arial" w:hAnsi="Arial" w:cs="Arial"/>
                <w:b/>
                <w:bCs/>
                <w:sz w:val="18"/>
                <w:szCs w:val="18"/>
              </w:rPr>
              <w:t>to date</w:t>
            </w:r>
          </w:p>
        </w:tc>
      </w:tr>
      <w:tr w:rsidR="00FE4B5C" w:rsidRPr="00174132">
        <w:tc>
          <w:tcPr>
            <w:tcW w:w="4755" w:type="dxa"/>
          </w:tcPr>
          <w:p w:rsidR="00FE4B5C" w:rsidRPr="00174132" w:rsidRDefault="00FE4B5C" w:rsidP="00174132">
            <w:pPr>
              <w:spacing w:after="0" w:line="240" w:lineRule="auto"/>
              <w:jc w:val="both"/>
              <w:rPr>
                <w:rFonts w:ascii="Arial" w:hAnsi="Arial" w:cs="Arial"/>
                <w:sz w:val="18"/>
                <w:szCs w:val="18"/>
              </w:rPr>
            </w:pPr>
          </w:p>
        </w:tc>
        <w:tc>
          <w:tcPr>
            <w:tcW w:w="24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31-Dec-2010</w:t>
            </w:r>
          </w:p>
        </w:tc>
        <w:tc>
          <w:tcPr>
            <w:tcW w:w="207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31-Dec-2010</w:t>
            </w:r>
          </w:p>
        </w:tc>
      </w:tr>
      <w:tr w:rsidR="00FE4B5C" w:rsidRPr="00174132">
        <w:tc>
          <w:tcPr>
            <w:tcW w:w="4755" w:type="dxa"/>
          </w:tcPr>
          <w:p w:rsidR="00FE4B5C" w:rsidRPr="00174132" w:rsidRDefault="00FE4B5C" w:rsidP="00174132">
            <w:pPr>
              <w:spacing w:after="0" w:line="240" w:lineRule="auto"/>
              <w:jc w:val="both"/>
              <w:rPr>
                <w:rFonts w:ascii="Arial" w:hAnsi="Arial" w:cs="Arial"/>
                <w:sz w:val="18"/>
                <w:szCs w:val="18"/>
              </w:rPr>
            </w:pPr>
          </w:p>
        </w:tc>
        <w:tc>
          <w:tcPr>
            <w:tcW w:w="24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RM’000</w:t>
            </w:r>
          </w:p>
        </w:tc>
        <w:tc>
          <w:tcPr>
            <w:tcW w:w="207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RM’000</w:t>
            </w:r>
          </w:p>
        </w:tc>
      </w:tr>
      <w:tr w:rsidR="00FE4B5C" w:rsidRPr="00174132">
        <w:tc>
          <w:tcPr>
            <w:tcW w:w="4755" w:type="dxa"/>
          </w:tcPr>
          <w:p w:rsidR="00FE4B5C" w:rsidRPr="00174132" w:rsidRDefault="00FE4B5C" w:rsidP="00174132">
            <w:pPr>
              <w:spacing w:after="0" w:line="240" w:lineRule="auto"/>
              <w:ind w:left="720"/>
              <w:jc w:val="both"/>
              <w:rPr>
                <w:rFonts w:ascii="Arial" w:hAnsi="Arial" w:cs="Arial"/>
                <w:sz w:val="18"/>
                <w:szCs w:val="18"/>
                <w:u w:val="single"/>
              </w:rPr>
            </w:pPr>
            <w:r w:rsidRPr="00174132">
              <w:rPr>
                <w:rFonts w:ascii="Arial" w:hAnsi="Arial" w:cs="Arial"/>
                <w:sz w:val="18"/>
                <w:szCs w:val="18"/>
                <w:u w:val="single"/>
                <w:lang w:val="en-GB"/>
              </w:rPr>
              <w:t>Transaction with an associate</w:t>
            </w:r>
            <w:r w:rsidRPr="00174132">
              <w:rPr>
                <w:rFonts w:ascii="Arial" w:hAnsi="Arial" w:cs="Arial"/>
                <w:sz w:val="18"/>
                <w:szCs w:val="18"/>
                <w:u w:val="single"/>
              </w:rPr>
              <w:t>:</w:t>
            </w:r>
          </w:p>
        </w:tc>
        <w:tc>
          <w:tcPr>
            <w:tcW w:w="2420" w:type="dxa"/>
          </w:tcPr>
          <w:p w:rsidR="00FE4B5C" w:rsidRPr="00174132" w:rsidRDefault="00FE4B5C" w:rsidP="00174132">
            <w:pPr>
              <w:spacing w:after="0" w:line="240" w:lineRule="auto"/>
              <w:jc w:val="right"/>
              <w:rPr>
                <w:rFonts w:ascii="Arial" w:hAnsi="Arial" w:cs="Arial"/>
                <w:sz w:val="18"/>
                <w:szCs w:val="18"/>
              </w:rPr>
            </w:pPr>
          </w:p>
        </w:tc>
        <w:tc>
          <w:tcPr>
            <w:tcW w:w="2070" w:type="dxa"/>
          </w:tcPr>
          <w:p w:rsidR="00FE4B5C" w:rsidRPr="00174132" w:rsidRDefault="00FE4B5C" w:rsidP="00174132">
            <w:pPr>
              <w:spacing w:after="0" w:line="240" w:lineRule="auto"/>
              <w:jc w:val="right"/>
              <w:rPr>
                <w:rFonts w:ascii="Arial" w:hAnsi="Arial" w:cs="Arial"/>
                <w:sz w:val="18"/>
                <w:szCs w:val="18"/>
              </w:rPr>
            </w:pPr>
          </w:p>
        </w:tc>
      </w:tr>
      <w:tr w:rsidR="00FE4B5C" w:rsidRPr="00174132">
        <w:tc>
          <w:tcPr>
            <w:tcW w:w="4755" w:type="dxa"/>
          </w:tcPr>
          <w:p w:rsidR="00FE4B5C" w:rsidRPr="00174132" w:rsidRDefault="00FE4B5C" w:rsidP="00174132">
            <w:pPr>
              <w:spacing w:after="0" w:line="240" w:lineRule="auto"/>
              <w:ind w:left="720"/>
              <w:jc w:val="both"/>
              <w:rPr>
                <w:rFonts w:ascii="Arial" w:hAnsi="Arial" w:cs="Arial"/>
                <w:sz w:val="18"/>
                <w:szCs w:val="18"/>
                <w:lang w:val="en-GB"/>
              </w:rPr>
            </w:pPr>
            <w:r w:rsidRPr="00174132">
              <w:rPr>
                <w:rFonts w:ascii="Arial" w:hAnsi="Arial" w:cs="Arial"/>
                <w:sz w:val="18"/>
                <w:szCs w:val="18"/>
                <w:lang w:val="en-GB"/>
              </w:rPr>
              <w:t>Sales of goods</w:t>
            </w:r>
          </w:p>
        </w:tc>
        <w:tc>
          <w:tcPr>
            <w:tcW w:w="24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1,488</w:t>
            </w:r>
          </w:p>
        </w:tc>
        <w:tc>
          <w:tcPr>
            <w:tcW w:w="207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2,630</w:t>
            </w:r>
          </w:p>
        </w:tc>
      </w:tr>
      <w:tr w:rsidR="00FE4B5C" w:rsidRPr="00174132">
        <w:tc>
          <w:tcPr>
            <w:tcW w:w="4755" w:type="dxa"/>
          </w:tcPr>
          <w:p w:rsidR="00FE4B5C" w:rsidRPr="00174132" w:rsidRDefault="00FE4B5C" w:rsidP="00174132">
            <w:pPr>
              <w:spacing w:after="0" w:line="240" w:lineRule="auto"/>
              <w:ind w:left="720"/>
              <w:jc w:val="both"/>
              <w:rPr>
                <w:rFonts w:ascii="Arial" w:hAnsi="Arial" w:cs="Arial"/>
                <w:sz w:val="18"/>
                <w:szCs w:val="18"/>
                <w:lang w:val="en-GB"/>
              </w:rPr>
            </w:pPr>
            <w:r w:rsidRPr="00174132">
              <w:rPr>
                <w:rFonts w:ascii="Arial" w:hAnsi="Arial" w:cs="Arial"/>
                <w:sz w:val="18"/>
                <w:szCs w:val="18"/>
                <w:lang w:val="en-GB"/>
              </w:rPr>
              <w:t>Interest received</w:t>
            </w:r>
            <w:r w:rsidRPr="00174132">
              <w:rPr>
                <w:rFonts w:ascii="Arial" w:hAnsi="Arial" w:cs="Arial"/>
                <w:sz w:val="18"/>
                <w:szCs w:val="18"/>
                <w:lang w:val="en-GB"/>
              </w:rPr>
              <w:tab/>
            </w:r>
          </w:p>
        </w:tc>
        <w:tc>
          <w:tcPr>
            <w:tcW w:w="24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lang w:val="en-GB"/>
              </w:rPr>
              <w:t xml:space="preserve">      -</w:t>
            </w:r>
          </w:p>
        </w:tc>
        <w:tc>
          <w:tcPr>
            <w:tcW w:w="207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lang w:val="en-GB"/>
              </w:rPr>
              <w:t>15</w:t>
            </w:r>
          </w:p>
        </w:tc>
      </w:tr>
      <w:tr w:rsidR="00FE4B5C" w:rsidRPr="00174132">
        <w:tc>
          <w:tcPr>
            <w:tcW w:w="4755" w:type="dxa"/>
          </w:tcPr>
          <w:p w:rsidR="00FE4B5C" w:rsidRPr="00174132" w:rsidRDefault="00FE4B5C" w:rsidP="00174132">
            <w:pPr>
              <w:spacing w:after="0" w:line="240" w:lineRule="auto"/>
              <w:jc w:val="both"/>
              <w:rPr>
                <w:rFonts w:ascii="Arial" w:hAnsi="Arial" w:cs="Arial"/>
                <w:sz w:val="18"/>
                <w:szCs w:val="18"/>
                <w:lang w:val="en-GB"/>
              </w:rPr>
            </w:pPr>
          </w:p>
        </w:tc>
        <w:tc>
          <w:tcPr>
            <w:tcW w:w="2420" w:type="dxa"/>
          </w:tcPr>
          <w:p w:rsidR="00FE4B5C" w:rsidRPr="00174132" w:rsidRDefault="00FE4B5C" w:rsidP="00174132">
            <w:pPr>
              <w:spacing w:after="0" w:line="240" w:lineRule="auto"/>
              <w:jc w:val="right"/>
              <w:rPr>
                <w:rFonts w:ascii="Arial" w:hAnsi="Arial" w:cs="Arial"/>
                <w:sz w:val="18"/>
                <w:szCs w:val="18"/>
                <w:lang w:val="en-GB"/>
              </w:rPr>
            </w:pPr>
          </w:p>
        </w:tc>
        <w:tc>
          <w:tcPr>
            <w:tcW w:w="2070" w:type="dxa"/>
          </w:tcPr>
          <w:p w:rsidR="00FE4B5C" w:rsidRPr="00174132" w:rsidRDefault="00FE4B5C" w:rsidP="00174132">
            <w:pPr>
              <w:spacing w:after="0" w:line="240" w:lineRule="auto"/>
              <w:jc w:val="right"/>
              <w:rPr>
                <w:rFonts w:ascii="Arial" w:hAnsi="Arial" w:cs="Arial"/>
                <w:sz w:val="18"/>
                <w:szCs w:val="18"/>
                <w:lang w:val="en-GB"/>
              </w:rPr>
            </w:pPr>
          </w:p>
        </w:tc>
      </w:tr>
      <w:tr w:rsidR="00FE4B5C" w:rsidRPr="00174132">
        <w:tc>
          <w:tcPr>
            <w:tcW w:w="4755" w:type="dxa"/>
          </w:tcPr>
          <w:p w:rsidR="00FE4B5C" w:rsidRPr="00174132" w:rsidRDefault="00FE4B5C" w:rsidP="00174132">
            <w:pPr>
              <w:spacing w:after="0" w:line="240" w:lineRule="auto"/>
              <w:ind w:left="720"/>
              <w:jc w:val="both"/>
              <w:rPr>
                <w:rFonts w:ascii="Arial" w:hAnsi="Arial" w:cs="Arial"/>
                <w:sz w:val="18"/>
                <w:szCs w:val="18"/>
                <w:u w:val="single"/>
                <w:lang w:val="en-GB"/>
              </w:rPr>
            </w:pPr>
            <w:r w:rsidRPr="00174132">
              <w:rPr>
                <w:rFonts w:ascii="Arial" w:hAnsi="Arial" w:cs="Arial"/>
                <w:sz w:val="18"/>
                <w:szCs w:val="18"/>
                <w:u w:val="single"/>
                <w:lang w:val="en-GB"/>
              </w:rPr>
              <w:t>Transaction with related parties:</w:t>
            </w:r>
          </w:p>
        </w:tc>
        <w:tc>
          <w:tcPr>
            <w:tcW w:w="2420" w:type="dxa"/>
          </w:tcPr>
          <w:p w:rsidR="00FE4B5C" w:rsidRPr="00174132" w:rsidRDefault="00FE4B5C" w:rsidP="00174132">
            <w:pPr>
              <w:spacing w:after="0" w:line="240" w:lineRule="auto"/>
              <w:jc w:val="right"/>
              <w:rPr>
                <w:rFonts w:ascii="Arial" w:hAnsi="Arial" w:cs="Arial"/>
                <w:sz w:val="18"/>
                <w:szCs w:val="18"/>
                <w:lang w:val="en-GB"/>
              </w:rPr>
            </w:pPr>
          </w:p>
        </w:tc>
        <w:tc>
          <w:tcPr>
            <w:tcW w:w="2070" w:type="dxa"/>
          </w:tcPr>
          <w:p w:rsidR="00FE4B5C" w:rsidRPr="00174132" w:rsidRDefault="00FE4B5C" w:rsidP="00174132">
            <w:pPr>
              <w:spacing w:after="0" w:line="240" w:lineRule="auto"/>
              <w:jc w:val="right"/>
              <w:rPr>
                <w:rFonts w:ascii="Arial" w:hAnsi="Arial" w:cs="Arial"/>
                <w:sz w:val="18"/>
                <w:szCs w:val="18"/>
                <w:lang w:val="en-GB"/>
              </w:rPr>
            </w:pPr>
          </w:p>
        </w:tc>
      </w:tr>
      <w:tr w:rsidR="00FE4B5C" w:rsidRPr="00174132">
        <w:tc>
          <w:tcPr>
            <w:tcW w:w="4755" w:type="dxa"/>
          </w:tcPr>
          <w:p w:rsidR="00FE4B5C" w:rsidRPr="00174132" w:rsidRDefault="00FE4B5C" w:rsidP="00174132">
            <w:pPr>
              <w:spacing w:after="0" w:line="240" w:lineRule="auto"/>
              <w:ind w:left="720"/>
              <w:jc w:val="both"/>
              <w:rPr>
                <w:rFonts w:ascii="Arial" w:hAnsi="Arial" w:cs="Arial"/>
                <w:sz w:val="18"/>
                <w:szCs w:val="18"/>
                <w:highlight w:val="yellow"/>
                <w:lang w:val="en-GB"/>
              </w:rPr>
            </w:pPr>
            <w:r w:rsidRPr="00174132">
              <w:rPr>
                <w:rFonts w:ascii="Arial" w:hAnsi="Arial" w:cs="Arial"/>
                <w:sz w:val="18"/>
                <w:szCs w:val="18"/>
                <w:lang w:val="en-GB"/>
              </w:rPr>
              <w:t>Sales of goods</w:t>
            </w:r>
          </w:p>
        </w:tc>
        <w:tc>
          <w:tcPr>
            <w:tcW w:w="2420" w:type="dxa"/>
          </w:tcPr>
          <w:p w:rsidR="00FE4B5C" w:rsidRPr="00174132" w:rsidRDefault="00FE4B5C" w:rsidP="00174132">
            <w:pPr>
              <w:spacing w:after="0" w:line="240" w:lineRule="auto"/>
              <w:jc w:val="right"/>
              <w:rPr>
                <w:rFonts w:ascii="Arial" w:hAnsi="Arial" w:cs="Arial"/>
                <w:sz w:val="18"/>
                <w:szCs w:val="18"/>
                <w:lang w:val="en-GB"/>
              </w:rPr>
            </w:pPr>
            <w:r w:rsidRPr="00174132">
              <w:rPr>
                <w:rFonts w:ascii="Arial" w:hAnsi="Arial" w:cs="Arial"/>
                <w:sz w:val="18"/>
                <w:szCs w:val="18"/>
                <w:lang w:val="en-GB"/>
              </w:rPr>
              <w:t>-</w:t>
            </w:r>
          </w:p>
        </w:tc>
        <w:tc>
          <w:tcPr>
            <w:tcW w:w="2070" w:type="dxa"/>
          </w:tcPr>
          <w:p w:rsidR="00FE4B5C" w:rsidRPr="00174132" w:rsidRDefault="00FE4B5C" w:rsidP="00174132">
            <w:pPr>
              <w:spacing w:after="0" w:line="240" w:lineRule="auto"/>
              <w:jc w:val="right"/>
              <w:rPr>
                <w:rFonts w:ascii="Arial" w:hAnsi="Arial" w:cs="Arial"/>
                <w:sz w:val="18"/>
                <w:szCs w:val="18"/>
                <w:lang w:val="en-GB"/>
              </w:rPr>
            </w:pPr>
            <w:r w:rsidRPr="00174132">
              <w:rPr>
                <w:rFonts w:ascii="Arial" w:hAnsi="Arial" w:cs="Arial"/>
                <w:sz w:val="18"/>
                <w:szCs w:val="18"/>
                <w:lang w:val="en-GB"/>
              </w:rPr>
              <w:t>7</w:t>
            </w:r>
          </w:p>
        </w:tc>
      </w:tr>
      <w:tr w:rsidR="00FE4B5C" w:rsidRPr="00174132">
        <w:tc>
          <w:tcPr>
            <w:tcW w:w="4755" w:type="dxa"/>
          </w:tcPr>
          <w:p w:rsidR="00FE4B5C" w:rsidRPr="00174132" w:rsidRDefault="00FE4B5C" w:rsidP="00174132">
            <w:pPr>
              <w:spacing w:after="0" w:line="240" w:lineRule="auto"/>
              <w:ind w:left="720"/>
              <w:jc w:val="both"/>
              <w:rPr>
                <w:rFonts w:ascii="Arial" w:hAnsi="Arial" w:cs="Arial"/>
                <w:sz w:val="18"/>
                <w:szCs w:val="18"/>
                <w:lang w:val="en-GB"/>
              </w:rPr>
            </w:pPr>
            <w:r w:rsidRPr="00174132">
              <w:rPr>
                <w:rFonts w:ascii="Arial" w:hAnsi="Arial" w:cs="Arial"/>
                <w:sz w:val="18"/>
                <w:szCs w:val="18"/>
                <w:lang w:val="en-GB"/>
              </w:rPr>
              <w:t>Purchase of machine parts</w:t>
            </w:r>
          </w:p>
        </w:tc>
        <w:tc>
          <w:tcPr>
            <w:tcW w:w="2420" w:type="dxa"/>
          </w:tcPr>
          <w:p w:rsidR="00FE4B5C" w:rsidRPr="00174132" w:rsidDel="0044644C" w:rsidRDefault="00FE4B5C" w:rsidP="00174132">
            <w:pPr>
              <w:spacing w:after="0" w:line="240" w:lineRule="auto"/>
              <w:jc w:val="right"/>
              <w:rPr>
                <w:rFonts w:ascii="Arial" w:hAnsi="Arial" w:cs="Arial"/>
                <w:sz w:val="18"/>
                <w:szCs w:val="18"/>
                <w:lang w:val="en-GB"/>
              </w:rPr>
            </w:pPr>
            <w:r w:rsidRPr="00174132">
              <w:rPr>
                <w:rFonts w:ascii="Arial" w:hAnsi="Arial" w:cs="Arial"/>
                <w:sz w:val="18"/>
                <w:szCs w:val="18"/>
                <w:lang w:val="en-GB"/>
              </w:rPr>
              <w:t>-</w:t>
            </w:r>
          </w:p>
        </w:tc>
        <w:tc>
          <w:tcPr>
            <w:tcW w:w="2070" w:type="dxa"/>
          </w:tcPr>
          <w:p w:rsidR="00FE4B5C" w:rsidRPr="00174132" w:rsidDel="0044644C" w:rsidRDefault="00FE4B5C" w:rsidP="00174132">
            <w:pPr>
              <w:spacing w:after="0" w:line="240" w:lineRule="auto"/>
              <w:jc w:val="right"/>
              <w:rPr>
                <w:rFonts w:ascii="Arial" w:hAnsi="Arial" w:cs="Arial"/>
                <w:sz w:val="18"/>
                <w:szCs w:val="18"/>
                <w:lang w:val="en-GB"/>
              </w:rPr>
            </w:pPr>
            <w:r w:rsidRPr="00174132">
              <w:rPr>
                <w:rFonts w:ascii="Arial" w:hAnsi="Arial" w:cs="Arial"/>
                <w:sz w:val="18"/>
                <w:szCs w:val="18"/>
                <w:lang w:val="en-GB"/>
              </w:rPr>
              <w:t>15</w:t>
            </w:r>
          </w:p>
        </w:tc>
      </w:tr>
      <w:tr w:rsidR="00FE4B5C" w:rsidRPr="00174132">
        <w:tc>
          <w:tcPr>
            <w:tcW w:w="4755" w:type="dxa"/>
          </w:tcPr>
          <w:p w:rsidR="00FE4B5C" w:rsidRPr="00174132" w:rsidRDefault="00FE4B5C" w:rsidP="00174132">
            <w:pPr>
              <w:spacing w:after="0" w:line="240" w:lineRule="auto"/>
              <w:ind w:left="720"/>
              <w:jc w:val="both"/>
              <w:rPr>
                <w:rFonts w:ascii="Arial" w:hAnsi="Arial" w:cs="Arial"/>
                <w:sz w:val="18"/>
                <w:szCs w:val="18"/>
                <w:lang w:val="en-GB"/>
              </w:rPr>
            </w:pPr>
            <w:r w:rsidRPr="00174132">
              <w:rPr>
                <w:rFonts w:ascii="Arial" w:hAnsi="Arial" w:cs="Arial"/>
                <w:sz w:val="18"/>
                <w:szCs w:val="18"/>
                <w:lang w:val="en-GB"/>
              </w:rPr>
              <w:t>Rental received</w:t>
            </w:r>
          </w:p>
        </w:tc>
        <w:tc>
          <w:tcPr>
            <w:tcW w:w="2420" w:type="dxa"/>
          </w:tcPr>
          <w:p w:rsidR="00FE4B5C" w:rsidRPr="00174132" w:rsidRDefault="00FE4B5C" w:rsidP="00174132">
            <w:pPr>
              <w:spacing w:after="0" w:line="240" w:lineRule="auto"/>
              <w:jc w:val="right"/>
              <w:rPr>
                <w:rFonts w:ascii="Arial" w:hAnsi="Arial" w:cs="Arial"/>
                <w:sz w:val="18"/>
                <w:szCs w:val="18"/>
                <w:lang w:val="en-GB"/>
              </w:rPr>
            </w:pPr>
            <w:r w:rsidRPr="00174132">
              <w:rPr>
                <w:rFonts w:ascii="Arial" w:hAnsi="Arial" w:cs="Arial"/>
                <w:sz w:val="18"/>
                <w:szCs w:val="18"/>
                <w:lang w:val="en-GB"/>
              </w:rPr>
              <w:t>-</w:t>
            </w:r>
          </w:p>
        </w:tc>
        <w:tc>
          <w:tcPr>
            <w:tcW w:w="2070" w:type="dxa"/>
          </w:tcPr>
          <w:p w:rsidR="00FE4B5C" w:rsidRPr="00174132" w:rsidRDefault="00FE4B5C" w:rsidP="00174132">
            <w:pPr>
              <w:spacing w:after="0" w:line="240" w:lineRule="auto"/>
              <w:jc w:val="right"/>
              <w:rPr>
                <w:rFonts w:ascii="Arial" w:hAnsi="Arial" w:cs="Arial"/>
                <w:sz w:val="18"/>
                <w:szCs w:val="18"/>
                <w:lang w:val="en-GB"/>
              </w:rPr>
            </w:pPr>
            <w:r w:rsidRPr="00174132">
              <w:rPr>
                <w:rFonts w:ascii="Arial" w:hAnsi="Arial" w:cs="Arial"/>
                <w:sz w:val="18"/>
                <w:szCs w:val="18"/>
                <w:lang w:val="en-GB"/>
              </w:rPr>
              <w:t>2</w:t>
            </w:r>
          </w:p>
        </w:tc>
      </w:tr>
      <w:tr w:rsidR="00FE4B5C" w:rsidRPr="00174132">
        <w:tc>
          <w:tcPr>
            <w:tcW w:w="4755" w:type="dxa"/>
          </w:tcPr>
          <w:p w:rsidR="00FE4B5C" w:rsidRPr="00174132" w:rsidRDefault="00FE4B5C" w:rsidP="00174132">
            <w:pPr>
              <w:spacing w:after="0" w:line="240" w:lineRule="auto"/>
              <w:jc w:val="both"/>
              <w:rPr>
                <w:rFonts w:ascii="Arial" w:hAnsi="Arial" w:cs="Arial"/>
                <w:sz w:val="18"/>
                <w:szCs w:val="18"/>
                <w:lang w:val="en-GB"/>
              </w:rPr>
            </w:pPr>
          </w:p>
        </w:tc>
        <w:tc>
          <w:tcPr>
            <w:tcW w:w="2420" w:type="dxa"/>
          </w:tcPr>
          <w:p w:rsidR="00FE4B5C" w:rsidRPr="00174132" w:rsidDel="0044644C" w:rsidRDefault="00FE4B5C" w:rsidP="00174132">
            <w:pPr>
              <w:spacing w:after="0" w:line="240" w:lineRule="auto"/>
              <w:jc w:val="both"/>
              <w:rPr>
                <w:rFonts w:ascii="Arial" w:hAnsi="Arial" w:cs="Arial"/>
                <w:sz w:val="18"/>
                <w:szCs w:val="18"/>
                <w:lang w:val="en-GB"/>
              </w:rPr>
            </w:pPr>
          </w:p>
        </w:tc>
        <w:tc>
          <w:tcPr>
            <w:tcW w:w="2070" w:type="dxa"/>
          </w:tcPr>
          <w:p w:rsidR="00FE4B5C" w:rsidRPr="00174132" w:rsidDel="0044644C" w:rsidRDefault="00FE4B5C" w:rsidP="00174132">
            <w:pPr>
              <w:spacing w:after="0" w:line="240" w:lineRule="auto"/>
              <w:jc w:val="both"/>
              <w:rPr>
                <w:rFonts w:ascii="Arial" w:hAnsi="Arial" w:cs="Arial"/>
                <w:sz w:val="18"/>
                <w:szCs w:val="18"/>
                <w:lang w:val="en-GB"/>
              </w:rPr>
            </w:pPr>
          </w:p>
        </w:tc>
      </w:tr>
    </w:tbl>
    <w:p w:rsidR="00FE4B5C" w:rsidRPr="006C0E32" w:rsidRDefault="00FE4B5C" w:rsidP="00011292">
      <w:pPr>
        <w:spacing w:after="0" w:line="240" w:lineRule="auto"/>
        <w:jc w:val="both"/>
        <w:rPr>
          <w:rFonts w:ascii="Arial" w:hAnsi="Arial" w:cs="Arial"/>
          <w:sz w:val="18"/>
          <w:szCs w:val="18"/>
          <w:lang w:val="en-GB"/>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left="900" w:hanging="900"/>
        <w:jc w:val="both"/>
        <w:rPr>
          <w:rFonts w:ascii="Arial" w:hAnsi="Arial" w:cs="Arial"/>
          <w:b/>
          <w:bCs/>
          <w:sz w:val="18"/>
          <w:szCs w:val="18"/>
        </w:rPr>
      </w:pPr>
      <w:r w:rsidRPr="00BA4757">
        <w:rPr>
          <w:rFonts w:ascii="Arial" w:hAnsi="Arial" w:cs="Arial"/>
          <w:b/>
          <w:bCs/>
          <w:sz w:val="18"/>
          <w:szCs w:val="18"/>
        </w:rPr>
        <w:t xml:space="preserve">PART </w:t>
      </w:r>
      <w:r w:rsidRPr="008F2B69">
        <w:rPr>
          <w:rFonts w:ascii="Arial" w:hAnsi="Arial" w:cs="Arial"/>
          <w:b/>
          <w:bCs/>
          <w:sz w:val="18"/>
          <w:szCs w:val="18"/>
        </w:rPr>
        <w:t>B</w:t>
      </w:r>
      <w:r>
        <w:rPr>
          <w:rFonts w:ascii="Arial" w:hAnsi="Arial" w:cs="Arial"/>
          <w:b/>
          <w:bCs/>
          <w:sz w:val="18"/>
          <w:szCs w:val="18"/>
        </w:rPr>
        <w:t xml:space="preserve"> - </w:t>
      </w:r>
      <w:r w:rsidRPr="008F2B69">
        <w:rPr>
          <w:rFonts w:ascii="Arial" w:hAnsi="Arial" w:cs="Arial"/>
          <w:b/>
          <w:bCs/>
          <w:sz w:val="18"/>
          <w:szCs w:val="18"/>
        </w:rPr>
        <w:t>EXPLANATORY NOTES PURSUANT TO APPENDIX 9B OF THE LISTING REQUIREMENTS OF</w:t>
      </w:r>
      <w:r>
        <w:rPr>
          <w:rFonts w:ascii="Arial" w:hAnsi="Arial" w:cs="Arial"/>
          <w:b/>
          <w:bCs/>
          <w:sz w:val="18"/>
          <w:szCs w:val="18"/>
        </w:rPr>
        <w:t xml:space="preserve"> BURSA MALAYSIASECURITIES BERHAD</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r>
        <w:rPr>
          <w:rFonts w:ascii="Arial" w:hAnsi="Arial" w:cs="Arial"/>
          <w:b/>
          <w:bCs/>
          <w:sz w:val="18"/>
          <w:szCs w:val="18"/>
        </w:rPr>
        <w:t>B1.</w:t>
      </w:r>
      <w:r>
        <w:rPr>
          <w:rFonts w:ascii="Arial" w:hAnsi="Arial" w:cs="Arial"/>
          <w:b/>
          <w:bCs/>
          <w:sz w:val="18"/>
          <w:szCs w:val="18"/>
        </w:rPr>
        <w:tab/>
        <w:t>Review of performance</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left="720"/>
        <w:jc w:val="both"/>
        <w:rPr>
          <w:rFonts w:ascii="Arial" w:hAnsi="Arial" w:cs="Arial"/>
          <w:sz w:val="18"/>
          <w:szCs w:val="18"/>
        </w:rPr>
      </w:pPr>
      <w:r w:rsidRPr="006B3E59">
        <w:rPr>
          <w:rFonts w:ascii="Arial" w:hAnsi="Arial" w:cs="Arial"/>
          <w:sz w:val="18"/>
          <w:szCs w:val="18"/>
        </w:rPr>
        <w:t xml:space="preserve">The Group reported </w:t>
      </w:r>
      <w:r>
        <w:rPr>
          <w:rFonts w:ascii="Arial" w:hAnsi="Arial" w:cs="Arial"/>
          <w:sz w:val="18"/>
          <w:szCs w:val="18"/>
        </w:rPr>
        <w:t xml:space="preserve">a </w:t>
      </w:r>
      <w:r w:rsidRPr="006B3E59">
        <w:rPr>
          <w:rFonts w:ascii="Arial" w:hAnsi="Arial" w:cs="Arial"/>
          <w:sz w:val="18"/>
          <w:szCs w:val="18"/>
        </w:rPr>
        <w:t xml:space="preserve">revenue of </w:t>
      </w:r>
      <w:r>
        <w:rPr>
          <w:rFonts w:ascii="Arial" w:hAnsi="Arial" w:cs="Arial"/>
          <w:sz w:val="18"/>
          <w:szCs w:val="18"/>
        </w:rPr>
        <w:t xml:space="preserve">approximately </w:t>
      </w:r>
      <w:r w:rsidRPr="00330998">
        <w:rPr>
          <w:rFonts w:ascii="Arial" w:hAnsi="Arial" w:cs="Arial"/>
          <w:sz w:val="18"/>
          <w:szCs w:val="18"/>
        </w:rPr>
        <w:t>RM82.94</w:t>
      </w:r>
      <w:r w:rsidRPr="006B3E59">
        <w:rPr>
          <w:rFonts w:ascii="Arial" w:hAnsi="Arial" w:cs="Arial"/>
          <w:sz w:val="18"/>
          <w:szCs w:val="18"/>
        </w:rPr>
        <w:t xml:space="preserve"> million and profit before tax of </w:t>
      </w:r>
      <w:r>
        <w:rPr>
          <w:rFonts w:ascii="Arial" w:hAnsi="Arial" w:cs="Arial"/>
          <w:sz w:val="18"/>
          <w:szCs w:val="18"/>
        </w:rPr>
        <w:t xml:space="preserve">approximately </w:t>
      </w:r>
      <w:r w:rsidRPr="00330998">
        <w:rPr>
          <w:rFonts w:ascii="Arial" w:hAnsi="Arial" w:cs="Arial"/>
          <w:sz w:val="18"/>
          <w:szCs w:val="18"/>
        </w:rPr>
        <w:t>RM</w:t>
      </w:r>
      <w:r>
        <w:rPr>
          <w:rFonts w:ascii="Arial" w:hAnsi="Arial" w:cs="Arial"/>
          <w:sz w:val="18"/>
          <w:szCs w:val="18"/>
        </w:rPr>
        <w:t>8</w:t>
      </w:r>
      <w:r w:rsidRPr="00330998">
        <w:rPr>
          <w:rFonts w:ascii="Arial" w:hAnsi="Arial" w:cs="Arial"/>
          <w:sz w:val="18"/>
          <w:szCs w:val="18"/>
        </w:rPr>
        <w:t>.</w:t>
      </w:r>
      <w:r>
        <w:rPr>
          <w:rFonts w:ascii="Arial" w:hAnsi="Arial" w:cs="Arial"/>
          <w:sz w:val="18"/>
          <w:szCs w:val="18"/>
        </w:rPr>
        <w:t>82</w:t>
      </w:r>
      <w:r w:rsidRPr="00330998">
        <w:rPr>
          <w:rFonts w:ascii="Arial" w:hAnsi="Arial" w:cs="Arial"/>
          <w:sz w:val="18"/>
          <w:szCs w:val="18"/>
        </w:rPr>
        <w:t xml:space="preserve"> million for th</w:t>
      </w:r>
      <w:r w:rsidRPr="006B3E59">
        <w:rPr>
          <w:rFonts w:ascii="Arial" w:hAnsi="Arial" w:cs="Arial"/>
          <w:sz w:val="18"/>
          <w:szCs w:val="18"/>
        </w:rPr>
        <w:t xml:space="preserve">e </w:t>
      </w:r>
      <w:r>
        <w:rPr>
          <w:rFonts w:ascii="Arial" w:hAnsi="Arial" w:cs="Arial"/>
          <w:sz w:val="18"/>
          <w:szCs w:val="18"/>
        </w:rPr>
        <w:t>current financial quarter.</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r w:rsidRPr="00FE1739">
        <w:rPr>
          <w:rFonts w:ascii="Arial" w:hAnsi="Arial" w:cs="Arial"/>
          <w:b/>
          <w:bCs/>
          <w:sz w:val="18"/>
          <w:szCs w:val="18"/>
        </w:rPr>
        <w:t>B2</w:t>
      </w:r>
      <w:r>
        <w:rPr>
          <w:rFonts w:ascii="Arial" w:hAnsi="Arial" w:cs="Arial"/>
          <w:b/>
          <w:bCs/>
          <w:sz w:val="18"/>
          <w:szCs w:val="18"/>
        </w:rPr>
        <w:t>.</w:t>
      </w:r>
      <w:r>
        <w:rPr>
          <w:rFonts w:ascii="Arial" w:hAnsi="Arial" w:cs="Arial"/>
          <w:b/>
          <w:bCs/>
          <w:sz w:val="18"/>
          <w:szCs w:val="18"/>
        </w:rPr>
        <w:tab/>
      </w:r>
      <w:r w:rsidRPr="00FE1739">
        <w:rPr>
          <w:rFonts w:ascii="Arial" w:hAnsi="Arial" w:cs="Arial"/>
          <w:b/>
          <w:bCs/>
          <w:sz w:val="18"/>
          <w:szCs w:val="18"/>
        </w:rPr>
        <w:t>Variation of re</w:t>
      </w:r>
      <w:r>
        <w:rPr>
          <w:rFonts w:ascii="Arial" w:hAnsi="Arial" w:cs="Arial"/>
          <w:b/>
          <w:bCs/>
          <w:sz w:val="18"/>
          <w:szCs w:val="18"/>
        </w:rPr>
        <w:t>sults against preceding quarter</w:t>
      </w:r>
    </w:p>
    <w:p w:rsidR="00FE4B5C" w:rsidRDefault="00FE4B5C" w:rsidP="00011292">
      <w:pPr>
        <w:spacing w:after="0" w:line="240" w:lineRule="auto"/>
        <w:jc w:val="both"/>
        <w:rPr>
          <w:rFonts w:ascii="Arial" w:hAnsi="Arial" w:cs="Arial"/>
          <w:sz w:val="18"/>
          <w:szCs w:val="18"/>
        </w:rPr>
      </w:pPr>
    </w:p>
    <w:p w:rsidR="00FE4B5C" w:rsidRDefault="00FE4B5C" w:rsidP="0077666C">
      <w:pPr>
        <w:spacing w:after="0" w:line="240" w:lineRule="auto"/>
        <w:ind w:left="720"/>
        <w:jc w:val="both"/>
        <w:rPr>
          <w:rFonts w:ascii="Arial" w:hAnsi="Arial" w:cs="Arial"/>
          <w:sz w:val="18"/>
          <w:szCs w:val="18"/>
        </w:rPr>
      </w:pPr>
      <w:r w:rsidRPr="0077666C">
        <w:rPr>
          <w:rFonts w:ascii="Arial" w:hAnsi="Arial" w:cs="Arial"/>
          <w:sz w:val="18"/>
          <w:szCs w:val="18"/>
        </w:rPr>
        <w:t>The Group achieved a profit before tax of RM</w:t>
      </w:r>
      <w:r>
        <w:rPr>
          <w:rFonts w:ascii="Arial" w:hAnsi="Arial" w:cs="Arial"/>
          <w:sz w:val="18"/>
          <w:szCs w:val="18"/>
        </w:rPr>
        <w:t>2</w:t>
      </w:r>
      <w:r w:rsidRPr="0077666C">
        <w:rPr>
          <w:rFonts w:ascii="Arial" w:hAnsi="Arial" w:cs="Arial"/>
          <w:sz w:val="18"/>
          <w:szCs w:val="18"/>
        </w:rPr>
        <w:t>.</w:t>
      </w:r>
      <w:r>
        <w:rPr>
          <w:rFonts w:ascii="Arial" w:hAnsi="Arial" w:cs="Arial"/>
          <w:sz w:val="18"/>
          <w:szCs w:val="18"/>
        </w:rPr>
        <w:t>73</w:t>
      </w:r>
      <w:r w:rsidRPr="0077666C">
        <w:rPr>
          <w:rFonts w:ascii="Arial" w:hAnsi="Arial" w:cs="Arial"/>
          <w:sz w:val="18"/>
          <w:szCs w:val="18"/>
        </w:rPr>
        <w:t xml:space="preserve"> million in the current quarter as compared to a </w:t>
      </w:r>
      <w:r>
        <w:rPr>
          <w:rFonts w:ascii="Arial" w:hAnsi="Arial" w:cs="Arial"/>
          <w:sz w:val="18"/>
          <w:szCs w:val="18"/>
        </w:rPr>
        <w:t>profit</w:t>
      </w:r>
      <w:r w:rsidRPr="0077666C">
        <w:rPr>
          <w:rFonts w:ascii="Arial" w:hAnsi="Arial" w:cs="Arial"/>
          <w:sz w:val="18"/>
          <w:szCs w:val="18"/>
        </w:rPr>
        <w:t xml:space="preserve"> before tax of RM</w:t>
      </w:r>
      <w:r>
        <w:rPr>
          <w:rFonts w:ascii="Arial" w:hAnsi="Arial" w:cs="Arial"/>
          <w:sz w:val="18"/>
          <w:szCs w:val="18"/>
        </w:rPr>
        <w:t>2.41</w:t>
      </w:r>
      <w:r w:rsidRPr="0077666C">
        <w:rPr>
          <w:rFonts w:ascii="Arial" w:hAnsi="Arial" w:cs="Arial"/>
          <w:sz w:val="18"/>
          <w:szCs w:val="18"/>
        </w:rPr>
        <w:t xml:space="preserve"> million</w:t>
      </w:r>
      <w:r>
        <w:rPr>
          <w:rFonts w:ascii="Arial" w:hAnsi="Arial" w:cs="Arial"/>
          <w:sz w:val="18"/>
          <w:szCs w:val="18"/>
        </w:rPr>
        <w:t xml:space="preserve"> </w:t>
      </w:r>
      <w:r w:rsidRPr="0077666C">
        <w:rPr>
          <w:rFonts w:ascii="Arial" w:hAnsi="Arial" w:cs="Arial"/>
          <w:sz w:val="18"/>
          <w:szCs w:val="18"/>
        </w:rPr>
        <w:t>recorded in the immediate preceding quarter, mainly contributed by the higher revenue of RM</w:t>
      </w:r>
      <w:r>
        <w:rPr>
          <w:rFonts w:ascii="Arial" w:hAnsi="Arial" w:cs="Arial"/>
          <w:sz w:val="18"/>
          <w:szCs w:val="18"/>
        </w:rPr>
        <w:t>26.35</w:t>
      </w:r>
      <w:r w:rsidRPr="0077666C">
        <w:rPr>
          <w:rFonts w:ascii="Arial" w:hAnsi="Arial" w:cs="Arial"/>
          <w:sz w:val="18"/>
          <w:szCs w:val="18"/>
        </w:rPr>
        <w:t xml:space="preserve"> million generated during the</w:t>
      </w:r>
      <w:r>
        <w:rPr>
          <w:rFonts w:ascii="Arial" w:hAnsi="Arial" w:cs="Arial"/>
          <w:sz w:val="18"/>
          <w:szCs w:val="18"/>
        </w:rPr>
        <w:t xml:space="preserve"> </w:t>
      </w:r>
      <w:r w:rsidRPr="0077666C">
        <w:rPr>
          <w:rFonts w:ascii="Arial" w:hAnsi="Arial" w:cs="Arial"/>
          <w:sz w:val="18"/>
          <w:szCs w:val="18"/>
        </w:rPr>
        <w:t>current quarter as compared to RM2</w:t>
      </w:r>
      <w:r>
        <w:rPr>
          <w:rFonts w:ascii="Arial" w:hAnsi="Arial" w:cs="Arial"/>
          <w:sz w:val="18"/>
          <w:szCs w:val="18"/>
        </w:rPr>
        <w:t>3</w:t>
      </w:r>
      <w:r w:rsidRPr="0077666C">
        <w:rPr>
          <w:rFonts w:ascii="Arial" w:hAnsi="Arial" w:cs="Arial"/>
          <w:sz w:val="18"/>
          <w:szCs w:val="18"/>
        </w:rPr>
        <w:t>.</w:t>
      </w:r>
      <w:r>
        <w:rPr>
          <w:rFonts w:ascii="Arial" w:hAnsi="Arial" w:cs="Arial"/>
          <w:sz w:val="18"/>
          <w:szCs w:val="18"/>
        </w:rPr>
        <w:t>25</w:t>
      </w:r>
      <w:r w:rsidRPr="0077666C">
        <w:rPr>
          <w:rFonts w:ascii="Arial" w:hAnsi="Arial" w:cs="Arial"/>
          <w:sz w:val="18"/>
          <w:szCs w:val="18"/>
        </w:rPr>
        <w:t xml:space="preserve"> million recorded in the immediate preceding quarter. There are no exceptional operational</w:t>
      </w:r>
      <w:r>
        <w:rPr>
          <w:rFonts w:ascii="Arial" w:hAnsi="Arial" w:cs="Arial"/>
          <w:sz w:val="18"/>
          <w:szCs w:val="18"/>
        </w:rPr>
        <w:t xml:space="preserve"> </w:t>
      </w:r>
      <w:r w:rsidRPr="0077666C">
        <w:rPr>
          <w:rFonts w:ascii="Arial" w:hAnsi="Arial" w:cs="Arial"/>
          <w:sz w:val="18"/>
          <w:szCs w:val="18"/>
        </w:rPr>
        <w:t>or economic factors which have contributed to any changes in the results of the current quarter.</w:t>
      </w:r>
    </w:p>
    <w:p w:rsidR="00FE4B5C" w:rsidRDefault="00FE4B5C" w:rsidP="0077666C">
      <w:pPr>
        <w:spacing w:after="0" w:line="240" w:lineRule="auto"/>
        <w:ind w:left="720"/>
        <w:jc w:val="both"/>
        <w:rPr>
          <w:rFonts w:ascii="Arial" w:hAnsi="Arial" w:cs="Arial"/>
          <w:sz w:val="18"/>
          <w:szCs w:val="18"/>
        </w:rPr>
      </w:pPr>
    </w:p>
    <w:p w:rsidR="00FE4B5C" w:rsidRDefault="00FE4B5C" w:rsidP="0077666C">
      <w:pPr>
        <w:spacing w:after="0" w:line="240" w:lineRule="auto"/>
        <w:ind w:left="720"/>
        <w:jc w:val="both"/>
        <w:rPr>
          <w:rFonts w:ascii="Arial" w:hAnsi="Arial" w:cs="Arial"/>
          <w:sz w:val="18"/>
          <w:szCs w:val="18"/>
        </w:rPr>
      </w:pPr>
    </w:p>
    <w:p w:rsidR="00FE4B5C" w:rsidRPr="00FE1739" w:rsidRDefault="00FE4B5C" w:rsidP="00011292">
      <w:pPr>
        <w:spacing w:after="0" w:line="240" w:lineRule="auto"/>
        <w:jc w:val="both"/>
        <w:rPr>
          <w:rFonts w:ascii="Arial" w:hAnsi="Arial" w:cs="Arial"/>
          <w:b/>
          <w:bCs/>
          <w:sz w:val="18"/>
          <w:szCs w:val="18"/>
        </w:rPr>
      </w:pPr>
      <w:r w:rsidRPr="00BA4757">
        <w:rPr>
          <w:rFonts w:ascii="Arial" w:hAnsi="Arial" w:cs="Arial"/>
          <w:b/>
          <w:bCs/>
          <w:sz w:val="18"/>
          <w:szCs w:val="18"/>
        </w:rPr>
        <w:t xml:space="preserve">B3. </w:t>
      </w:r>
      <w:r>
        <w:rPr>
          <w:rFonts w:ascii="Arial" w:hAnsi="Arial" w:cs="Arial"/>
          <w:b/>
          <w:bCs/>
          <w:sz w:val="18"/>
          <w:szCs w:val="18"/>
        </w:rPr>
        <w:tab/>
      </w:r>
      <w:r w:rsidRPr="00BA4757">
        <w:rPr>
          <w:rFonts w:ascii="Arial" w:hAnsi="Arial" w:cs="Arial"/>
          <w:b/>
          <w:bCs/>
          <w:sz w:val="18"/>
          <w:szCs w:val="18"/>
        </w:rPr>
        <w:t>Current year prospects</w:t>
      </w:r>
    </w:p>
    <w:p w:rsidR="00FE4B5C" w:rsidRDefault="00FE4B5C" w:rsidP="00011292">
      <w:pPr>
        <w:spacing w:after="0" w:line="240" w:lineRule="auto"/>
        <w:jc w:val="both"/>
        <w:rPr>
          <w:rFonts w:ascii="Arial" w:hAnsi="Arial" w:cs="Arial"/>
          <w:sz w:val="18"/>
          <w:szCs w:val="18"/>
          <w:lang w:val="en-MY"/>
        </w:rPr>
      </w:pPr>
    </w:p>
    <w:p w:rsidR="00FE4B5C" w:rsidRDefault="00FE4B5C" w:rsidP="00011292">
      <w:pPr>
        <w:spacing w:after="0" w:line="240" w:lineRule="auto"/>
        <w:ind w:left="720"/>
        <w:jc w:val="both"/>
        <w:rPr>
          <w:rFonts w:ascii="Arial" w:hAnsi="Arial" w:cs="Arial"/>
          <w:sz w:val="18"/>
          <w:szCs w:val="18"/>
          <w:lang w:val="en-MY"/>
        </w:rPr>
      </w:pPr>
      <w:r>
        <w:rPr>
          <w:rFonts w:ascii="Arial" w:hAnsi="Arial" w:cs="Arial"/>
          <w:sz w:val="18"/>
          <w:szCs w:val="18"/>
          <w:lang w:val="en-MY"/>
        </w:rPr>
        <w:t xml:space="preserve">As disclosed in the prospectus of the Company dated 30 December 2010, the Group intend to expand its business further by introducing new range of secondary stainless steel products i.e. surface treated stainless steel products targeting for building and construction application, new range of tubes and pipes catering the automotive industry, and industrial schedule stainless steel tubes and pipes primarily to be used in the transportation of palm oil, gas and water. Leveraging on its market reputation of being a one-stop supply centre for secondary stainless steel products, the Board of Directors of the Company believes that these product expansion efforts will contribute positively to the earnings of the Group. </w:t>
      </w:r>
    </w:p>
    <w:p w:rsidR="00FE4B5C" w:rsidRDefault="00FE4B5C" w:rsidP="00011292">
      <w:pPr>
        <w:spacing w:after="0" w:line="240" w:lineRule="auto"/>
        <w:ind w:left="720"/>
        <w:jc w:val="both"/>
        <w:rPr>
          <w:rFonts w:ascii="Arial" w:hAnsi="Arial" w:cs="Arial"/>
          <w:sz w:val="18"/>
          <w:szCs w:val="18"/>
          <w:lang w:val="en-MY"/>
        </w:rPr>
      </w:pPr>
      <w:r>
        <w:rPr>
          <w:rFonts w:ascii="Arial" w:hAnsi="Arial" w:cs="Arial"/>
          <w:sz w:val="18"/>
          <w:szCs w:val="18"/>
          <w:lang w:val="en-MY"/>
        </w:rPr>
        <w:br/>
        <w:t xml:space="preserve">In addition, the Group also intends to expand its market coverage to Thailand, Vietnam and Philippines by utilising the indirect distribution strategy of using the local industrial hardware and retailers in the respective countries. These industrial hardware wholesalers and retailers will provide the Group with easy access to the local markets without incurring any substantial distribution, selling and marketing costs. </w:t>
      </w:r>
    </w:p>
    <w:p w:rsidR="00FE4B5C" w:rsidRDefault="00FE4B5C" w:rsidP="00011292">
      <w:pPr>
        <w:spacing w:after="0" w:line="240" w:lineRule="auto"/>
        <w:jc w:val="both"/>
        <w:rPr>
          <w:rFonts w:ascii="Tahoma" w:hAnsi="Tahoma" w:cs="Tahoma"/>
          <w:sz w:val="20"/>
          <w:szCs w:val="20"/>
        </w:rPr>
      </w:pPr>
      <w:r>
        <w:rPr>
          <w:rFonts w:ascii="Arial" w:hAnsi="Arial" w:cs="Arial"/>
          <w:sz w:val="18"/>
          <w:szCs w:val="18"/>
          <w:lang w:val="en-MY"/>
        </w:rPr>
        <w:t> </w:t>
      </w:r>
    </w:p>
    <w:p w:rsidR="00FE4B5C" w:rsidRDefault="00FE4B5C" w:rsidP="00011292">
      <w:pPr>
        <w:spacing w:after="0" w:line="240" w:lineRule="auto"/>
        <w:ind w:left="720"/>
        <w:jc w:val="both"/>
        <w:rPr>
          <w:rFonts w:ascii="Arial" w:hAnsi="Arial" w:cs="Arial"/>
          <w:sz w:val="18"/>
          <w:szCs w:val="18"/>
          <w:lang w:val="en-MY"/>
        </w:rPr>
      </w:pPr>
      <w:r>
        <w:rPr>
          <w:rFonts w:ascii="Arial" w:hAnsi="Arial" w:cs="Arial"/>
          <w:sz w:val="18"/>
          <w:szCs w:val="18"/>
          <w:lang w:val="en-MY"/>
        </w:rPr>
        <w:t>Premised on the above strategies and capitalizing on the core competencies of the Group, the Board of Directors envisages that the Group will be able to enjoy positive growth and favourable prospects in the long term.</w:t>
      </w:r>
    </w:p>
    <w:p w:rsidR="00FE4B5C" w:rsidRDefault="00FE4B5C" w:rsidP="00011292">
      <w:pPr>
        <w:spacing w:after="0" w:line="240" w:lineRule="auto"/>
        <w:jc w:val="both"/>
        <w:rPr>
          <w:rFonts w:ascii="Tahoma" w:hAnsi="Tahoma" w:cs="Tahoma"/>
          <w:sz w:val="20"/>
          <w:szCs w:val="20"/>
        </w:rPr>
      </w:pPr>
    </w:p>
    <w:p w:rsidR="00FE4B5C" w:rsidRDefault="00FE4B5C" w:rsidP="00011292">
      <w:pPr>
        <w:spacing w:after="0" w:line="240" w:lineRule="auto"/>
        <w:jc w:val="both"/>
        <w:rPr>
          <w:rFonts w:ascii="Arial" w:hAnsi="Arial" w:cs="Arial"/>
          <w:sz w:val="18"/>
          <w:szCs w:val="18"/>
          <w:lang w:val="en-MY"/>
        </w:rPr>
      </w:pPr>
    </w:p>
    <w:p w:rsidR="00FE4B5C" w:rsidRDefault="00FE4B5C" w:rsidP="00011292">
      <w:pPr>
        <w:spacing w:after="0" w:line="240" w:lineRule="auto"/>
        <w:jc w:val="both"/>
        <w:rPr>
          <w:rFonts w:ascii="Arial" w:hAnsi="Arial" w:cs="Arial"/>
          <w:b/>
          <w:bCs/>
          <w:sz w:val="18"/>
          <w:szCs w:val="18"/>
        </w:rPr>
      </w:pPr>
      <w:r>
        <w:rPr>
          <w:rFonts w:ascii="Arial" w:hAnsi="Arial" w:cs="Arial"/>
          <w:b/>
          <w:bCs/>
          <w:sz w:val="18"/>
          <w:szCs w:val="18"/>
        </w:rPr>
        <w:t xml:space="preserve">B4. </w:t>
      </w:r>
      <w:r>
        <w:rPr>
          <w:rFonts w:ascii="Arial" w:hAnsi="Arial" w:cs="Arial"/>
          <w:b/>
          <w:bCs/>
          <w:sz w:val="18"/>
          <w:szCs w:val="18"/>
        </w:rPr>
        <w:tab/>
        <w:t>Profit guarantee or profit forecast</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sz w:val="18"/>
          <w:szCs w:val="18"/>
        </w:rPr>
      </w:pPr>
      <w:r>
        <w:rPr>
          <w:rFonts w:ascii="Arial" w:hAnsi="Arial" w:cs="Arial"/>
          <w:b/>
          <w:bCs/>
          <w:sz w:val="18"/>
          <w:szCs w:val="18"/>
        </w:rPr>
        <w:tab/>
      </w:r>
      <w:r>
        <w:rPr>
          <w:rFonts w:ascii="Arial" w:hAnsi="Arial" w:cs="Arial"/>
          <w:sz w:val="18"/>
          <w:szCs w:val="18"/>
        </w:rPr>
        <w:t>The Group has not issued any profit guarantee or profit forecast for the financial period.</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Pr="00276728" w:rsidRDefault="00FE4B5C" w:rsidP="00011292">
      <w:pPr>
        <w:spacing w:after="0" w:line="240" w:lineRule="auto"/>
        <w:jc w:val="both"/>
        <w:rPr>
          <w:rFonts w:ascii="Arial" w:hAnsi="Arial" w:cs="Arial"/>
          <w:b/>
          <w:bCs/>
          <w:sz w:val="18"/>
          <w:szCs w:val="18"/>
        </w:rPr>
      </w:pPr>
      <w:r w:rsidRPr="00276728">
        <w:rPr>
          <w:rFonts w:ascii="Arial" w:hAnsi="Arial" w:cs="Arial"/>
          <w:b/>
          <w:bCs/>
          <w:sz w:val="18"/>
          <w:szCs w:val="18"/>
        </w:rPr>
        <w:t>B</w:t>
      </w:r>
      <w:r>
        <w:rPr>
          <w:rFonts w:ascii="Arial" w:hAnsi="Arial" w:cs="Arial"/>
          <w:b/>
          <w:bCs/>
          <w:sz w:val="18"/>
          <w:szCs w:val="18"/>
        </w:rPr>
        <w:t>5</w:t>
      </w:r>
      <w:r w:rsidRPr="00276728">
        <w:rPr>
          <w:rFonts w:ascii="Arial" w:hAnsi="Arial" w:cs="Arial"/>
          <w:b/>
          <w:bCs/>
          <w:sz w:val="18"/>
          <w:szCs w:val="18"/>
        </w:rPr>
        <w:t>.</w:t>
      </w:r>
      <w:r>
        <w:rPr>
          <w:rFonts w:ascii="Arial" w:hAnsi="Arial" w:cs="Arial"/>
          <w:b/>
          <w:bCs/>
          <w:sz w:val="18"/>
          <w:szCs w:val="18"/>
        </w:rPr>
        <w:tab/>
      </w:r>
      <w:r w:rsidRPr="00276728">
        <w:rPr>
          <w:rFonts w:ascii="Arial" w:hAnsi="Arial" w:cs="Arial"/>
          <w:b/>
          <w:bCs/>
          <w:sz w:val="18"/>
          <w:szCs w:val="18"/>
        </w:rPr>
        <w:t>Income tax expense</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ind w:firstLine="720"/>
        <w:jc w:val="both"/>
        <w:rPr>
          <w:rFonts w:ascii="Arial" w:hAnsi="Arial" w:cs="Arial"/>
          <w:sz w:val="18"/>
          <w:szCs w:val="18"/>
        </w:rPr>
      </w:pPr>
      <w:r>
        <w:rPr>
          <w:rFonts w:ascii="Arial" w:hAnsi="Arial" w:cs="Arial"/>
          <w:sz w:val="18"/>
          <w:szCs w:val="18"/>
        </w:rPr>
        <w:t>Income tax</w:t>
      </w:r>
      <w:r w:rsidRPr="00AE7F57">
        <w:rPr>
          <w:rFonts w:ascii="Arial" w:hAnsi="Arial" w:cs="Arial"/>
          <w:sz w:val="18"/>
          <w:szCs w:val="18"/>
        </w:rPr>
        <w:t xml:space="preserve"> as at the reporting date is as follows</w:t>
      </w:r>
      <w:r>
        <w:rPr>
          <w:rFonts w:ascii="Arial" w:hAnsi="Arial" w:cs="Arial"/>
          <w:sz w:val="18"/>
          <w:szCs w:val="18"/>
        </w:rPr>
        <w:t>:-</w:t>
      </w:r>
    </w:p>
    <w:tbl>
      <w:tblPr>
        <w:tblW w:w="0" w:type="auto"/>
        <w:tblInd w:w="-106" w:type="dxa"/>
        <w:tblLook w:val="00A0"/>
      </w:tblPr>
      <w:tblGrid>
        <w:gridCol w:w="5328"/>
        <w:gridCol w:w="1620"/>
        <w:gridCol w:w="1530"/>
      </w:tblGrid>
      <w:tr w:rsidR="00FE4B5C" w:rsidRPr="00174132">
        <w:tc>
          <w:tcPr>
            <w:tcW w:w="5328" w:type="dxa"/>
          </w:tcPr>
          <w:p w:rsidR="00FE4B5C" w:rsidRPr="00174132" w:rsidRDefault="00FE4B5C" w:rsidP="00174132">
            <w:pPr>
              <w:spacing w:after="0" w:line="240" w:lineRule="auto"/>
              <w:jc w:val="both"/>
              <w:rPr>
                <w:rFonts w:ascii="Arial" w:hAnsi="Arial" w:cs="Arial"/>
                <w:sz w:val="18"/>
                <w:szCs w:val="18"/>
              </w:rPr>
            </w:pPr>
          </w:p>
        </w:tc>
        <w:tc>
          <w:tcPr>
            <w:tcW w:w="1620" w:type="dxa"/>
          </w:tcPr>
          <w:p w:rsidR="00FE4B5C" w:rsidRPr="00174132" w:rsidRDefault="00FE4B5C" w:rsidP="00174132">
            <w:pPr>
              <w:spacing w:after="0" w:line="240" w:lineRule="auto"/>
              <w:jc w:val="right"/>
              <w:rPr>
                <w:rFonts w:ascii="Arial" w:hAnsi="Arial" w:cs="Arial"/>
                <w:b/>
                <w:bCs/>
                <w:sz w:val="18"/>
                <w:szCs w:val="18"/>
              </w:rPr>
            </w:pP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Current Quarter</w:t>
            </w:r>
          </w:p>
        </w:tc>
        <w:tc>
          <w:tcPr>
            <w:tcW w:w="153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 xml:space="preserve">Cumulative </w:t>
            </w: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Period</w:t>
            </w:r>
            <w:r>
              <w:rPr>
                <w:rFonts w:ascii="Arial" w:hAnsi="Arial" w:cs="Arial"/>
                <w:b/>
                <w:bCs/>
                <w:sz w:val="18"/>
                <w:szCs w:val="18"/>
              </w:rPr>
              <w:t xml:space="preserve"> </w:t>
            </w:r>
            <w:r w:rsidRPr="00174132">
              <w:rPr>
                <w:rFonts w:ascii="Arial" w:hAnsi="Arial" w:cs="Arial"/>
                <w:b/>
                <w:bCs/>
                <w:sz w:val="18"/>
                <w:szCs w:val="18"/>
              </w:rPr>
              <w:t>to</w:t>
            </w:r>
            <w:r>
              <w:rPr>
                <w:rFonts w:ascii="Arial" w:hAnsi="Arial" w:cs="Arial"/>
                <w:b/>
                <w:bCs/>
                <w:sz w:val="18"/>
                <w:szCs w:val="18"/>
              </w:rPr>
              <w:t xml:space="preserve"> </w:t>
            </w:r>
            <w:r w:rsidRPr="00174132">
              <w:rPr>
                <w:rFonts w:ascii="Arial" w:hAnsi="Arial" w:cs="Arial"/>
                <w:b/>
                <w:bCs/>
                <w:sz w:val="18"/>
                <w:szCs w:val="18"/>
              </w:rPr>
              <w:t>date</w:t>
            </w:r>
          </w:p>
        </w:tc>
      </w:tr>
      <w:tr w:rsidR="00FE4B5C" w:rsidRPr="00174132">
        <w:tc>
          <w:tcPr>
            <w:tcW w:w="5328" w:type="dxa"/>
          </w:tcPr>
          <w:p w:rsidR="00FE4B5C" w:rsidRPr="00174132" w:rsidRDefault="00FE4B5C" w:rsidP="00174132">
            <w:pPr>
              <w:spacing w:after="0" w:line="240" w:lineRule="auto"/>
              <w:jc w:val="both"/>
              <w:rPr>
                <w:rFonts w:ascii="Arial" w:hAnsi="Arial" w:cs="Arial"/>
                <w:sz w:val="18"/>
                <w:szCs w:val="18"/>
              </w:rPr>
            </w:pP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31-Dec-2010</w:t>
            </w:r>
          </w:p>
        </w:tc>
        <w:tc>
          <w:tcPr>
            <w:tcW w:w="153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31-Dec-2010</w:t>
            </w:r>
          </w:p>
        </w:tc>
      </w:tr>
      <w:tr w:rsidR="00FE4B5C" w:rsidRPr="00174132">
        <w:tc>
          <w:tcPr>
            <w:tcW w:w="5328" w:type="dxa"/>
          </w:tcPr>
          <w:p w:rsidR="00FE4B5C" w:rsidRPr="00174132" w:rsidRDefault="00FE4B5C" w:rsidP="00174132">
            <w:pPr>
              <w:spacing w:after="0" w:line="240" w:lineRule="auto"/>
              <w:jc w:val="both"/>
              <w:rPr>
                <w:rFonts w:ascii="Arial" w:hAnsi="Arial" w:cs="Arial"/>
                <w:sz w:val="18"/>
                <w:szCs w:val="18"/>
              </w:rPr>
            </w:pP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RM’000</w:t>
            </w:r>
          </w:p>
        </w:tc>
        <w:tc>
          <w:tcPr>
            <w:tcW w:w="153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RM’000</w:t>
            </w:r>
          </w:p>
        </w:tc>
      </w:tr>
      <w:tr w:rsidR="00FE4B5C" w:rsidRPr="00174132">
        <w:tc>
          <w:tcPr>
            <w:tcW w:w="5328" w:type="dxa"/>
          </w:tcPr>
          <w:p w:rsidR="00FE4B5C" w:rsidRPr="00174132" w:rsidRDefault="00FE4B5C" w:rsidP="00174132">
            <w:pPr>
              <w:spacing w:after="0" w:line="240" w:lineRule="auto"/>
              <w:jc w:val="both"/>
              <w:rPr>
                <w:rFonts w:ascii="Arial" w:hAnsi="Arial" w:cs="Arial"/>
                <w:sz w:val="18"/>
                <w:szCs w:val="18"/>
              </w:rPr>
            </w:pPr>
          </w:p>
        </w:tc>
        <w:tc>
          <w:tcPr>
            <w:tcW w:w="1620" w:type="dxa"/>
          </w:tcPr>
          <w:p w:rsidR="00FE4B5C" w:rsidRPr="00174132" w:rsidRDefault="00FE4B5C" w:rsidP="00174132">
            <w:pPr>
              <w:spacing w:after="0" w:line="240" w:lineRule="auto"/>
              <w:jc w:val="right"/>
              <w:rPr>
                <w:rFonts w:ascii="Arial" w:hAnsi="Arial" w:cs="Arial"/>
                <w:sz w:val="18"/>
                <w:szCs w:val="18"/>
              </w:rPr>
            </w:pPr>
          </w:p>
        </w:tc>
        <w:tc>
          <w:tcPr>
            <w:tcW w:w="1530" w:type="dxa"/>
          </w:tcPr>
          <w:p w:rsidR="00FE4B5C" w:rsidRPr="00174132" w:rsidRDefault="00FE4B5C" w:rsidP="00174132">
            <w:pPr>
              <w:spacing w:after="0" w:line="240" w:lineRule="auto"/>
              <w:jc w:val="right"/>
              <w:rPr>
                <w:rFonts w:ascii="Arial" w:hAnsi="Arial" w:cs="Arial"/>
                <w:sz w:val="18"/>
                <w:szCs w:val="18"/>
              </w:rPr>
            </w:pPr>
          </w:p>
        </w:tc>
      </w:tr>
      <w:tr w:rsidR="00FE4B5C" w:rsidRPr="00174132">
        <w:tc>
          <w:tcPr>
            <w:tcW w:w="5328" w:type="dxa"/>
          </w:tcPr>
          <w:p w:rsidR="00FE4B5C" w:rsidRPr="00174132" w:rsidRDefault="00FE4B5C" w:rsidP="00174132">
            <w:pPr>
              <w:spacing w:after="0" w:line="240" w:lineRule="auto"/>
              <w:ind w:left="720"/>
              <w:jc w:val="both"/>
              <w:rPr>
                <w:rFonts w:ascii="Arial" w:hAnsi="Arial" w:cs="Arial"/>
                <w:sz w:val="18"/>
                <w:szCs w:val="18"/>
              </w:rPr>
            </w:pPr>
            <w:r w:rsidRPr="00174132">
              <w:rPr>
                <w:rFonts w:ascii="Arial" w:hAnsi="Arial" w:cs="Arial"/>
                <w:sz w:val="18"/>
                <w:szCs w:val="18"/>
              </w:rPr>
              <w:t>Current tax expenses</w:t>
            </w:r>
          </w:p>
        </w:tc>
        <w:tc>
          <w:tcPr>
            <w:tcW w:w="162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624</w:t>
            </w:r>
          </w:p>
        </w:tc>
        <w:tc>
          <w:tcPr>
            <w:tcW w:w="153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2,312</w:t>
            </w:r>
          </w:p>
        </w:tc>
      </w:tr>
      <w:tr w:rsidR="00FE4B5C" w:rsidRPr="00174132">
        <w:tc>
          <w:tcPr>
            <w:tcW w:w="5328" w:type="dxa"/>
          </w:tcPr>
          <w:p w:rsidR="00FE4B5C" w:rsidRPr="00174132" w:rsidRDefault="00FE4B5C" w:rsidP="00174132">
            <w:pPr>
              <w:spacing w:after="0" w:line="240" w:lineRule="auto"/>
              <w:ind w:left="720"/>
              <w:jc w:val="both"/>
              <w:rPr>
                <w:rFonts w:ascii="Arial" w:hAnsi="Arial" w:cs="Arial"/>
                <w:sz w:val="18"/>
                <w:szCs w:val="18"/>
              </w:rPr>
            </w:pPr>
            <w:r w:rsidRPr="00174132">
              <w:rPr>
                <w:rFonts w:ascii="Arial" w:hAnsi="Arial" w:cs="Arial"/>
                <w:sz w:val="18"/>
                <w:szCs w:val="18"/>
              </w:rPr>
              <w:t>Deferred tax expenses</w:t>
            </w:r>
          </w:p>
        </w:tc>
        <w:tc>
          <w:tcPr>
            <w:tcW w:w="1620" w:type="dxa"/>
            <w:tcBorders>
              <w:bottom w:val="single" w:sz="4" w:space="0" w:color="auto"/>
            </w:tcBorders>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w:t>
            </w:r>
          </w:p>
        </w:tc>
        <w:tc>
          <w:tcPr>
            <w:tcW w:w="1530" w:type="dxa"/>
            <w:tcBorders>
              <w:bottom w:val="single" w:sz="4" w:space="0" w:color="auto"/>
            </w:tcBorders>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 xml:space="preserve">  40</w:t>
            </w:r>
          </w:p>
        </w:tc>
      </w:tr>
      <w:tr w:rsidR="00FE4B5C" w:rsidRPr="00174132">
        <w:tc>
          <w:tcPr>
            <w:tcW w:w="5328" w:type="dxa"/>
          </w:tcPr>
          <w:p w:rsidR="00FE4B5C" w:rsidRPr="00174132" w:rsidRDefault="00FE4B5C" w:rsidP="00174132">
            <w:pPr>
              <w:spacing w:after="0" w:line="240" w:lineRule="auto"/>
              <w:jc w:val="both"/>
              <w:rPr>
                <w:rFonts w:ascii="Arial" w:hAnsi="Arial" w:cs="Arial"/>
                <w:b/>
                <w:bCs/>
                <w:sz w:val="18"/>
                <w:szCs w:val="18"/>
              </w:rPr>
            </w:pPr>
          </w:p>
        </w:tc>
        <w:tc>
          <w:tcPr>
            <w:tcW w:w="1620" w:type="dxa"/>
            <w:tcBorders>
              <w:top w:val="single" w:sz="4" w:space="0" w:color="auto"/>
              <w:bottom w:val="double" w:sz="4" w:space="0" w:color="auto"/>
            </w:tcBorders>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624</w:t>
            </w:r>
          </w:p>
        </w:tc>
        <w:tc>
          <w:tcPr>
            <w:tcW w:w="1530" w:type="dxa"/>
            <w:tcBorders>
              <w:top w:val="single" w:sz="4" w:space="0" w:color="auto"/>
              <w:bottom w:val="double" w:sz="4" w:space="0" w:color="auto"/>
            </w:tcBorders>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2,352</w:t>
            </w:r>
          </w:p>
        </w:tc>
      </w:tr>
    </w:tbl>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left="720"/>
        <w:jc w:val="both"/>
        <w:rPr>
          <w:rFonts w:ascii="Arial" w:hAnsi="Arial" w:cs="Arial"/>
          <w:sz w:val="18"/>
          <w:szCs w:val="18"/>
        </w:rPr>
      </w:pPr>
      <w:r>
        <w:rPr>
          <w:rFonts w:ascii="Arial" w:hAnsi="Arial" w:cs="Arial"/>
          <w:sz w:val="18"/>
          <w:szCs w:val="18"/>
        </w:rPr>
        <w:t>The Group effective tax rate of 26.66% for 31 December 2010 was higher than the statutory corporate tax rate of 25%,This was mainly due to certain expenses being non-deductible for tax purposes and deferred tax not recognized on capital allowance.</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Pr="003268EC" w:rsidRDefault="00FE4B5C" w:rsidP="00011292">
      <w:pPr>
        <w:spacing w:after="0" w:line="240" w:lineRule="auto"/>
        <w:jc w:val="both"/>
        <w:rPr>
          <w:rFonts w:ascii="Arial" w:hAnsi="Arial" w:cs="Arial"/>
          <w:b/>
          <w:bCs/>
          <w:sz w:val="18"/>
          <w:szCs w:val="18"/>
        </w:rPr>
      </w:pPr>
      <w:r w:rsidRPr="003268EC">
        <w:rPr>
          <w:rFonts w:ascii="Arial" w:hAnsi="Arial" w:cs="Arial"/>
          <w:b/>
          <w:bCs/>
          <w:sz w:val="18"/>
          <w:szCs w:val="18"/>
        </w:rPr>
        <w:t>B</w:t>
      </w:r>
      <w:r>
        <w:rPr>
          <w:rFonts w:ascii="Arial" w:hAnsi="Arial" w:cs="Arial"/>
          <w:b/>
          <w:bCs/>
          <w:sz w:val="18"/>
          <w:szCs w:val="18"/>
        </w:rPr>
        <w:t>6</w:t>
      </w:r>
      <w:r w:rsidRPr="003268EC">
        <w:rPr>
          <w:rFonts w:ascii="Arial" w:hAnsi="Arial" w:cs="Arial"/>
          <w:b/>
          <w:bCs/>
          <w:sz w:val="18"/>
          <w:szCs w:val="18"/>
        </w:rPr>
        <w:t xml:space="preserve">. </w:t>
      </w:r>
      <w:r>
        <w:rPr>
          <w:rFonts w:ascii="Arial" w:hAnsi="Arial" w:cs="Arial"/>
          <w:b/>
          <w:bCs/>
          <w:sz w:val="18"/>
          <w:szCs w:val="18"/>
        </w:rPr>
        <w:tab/>
      </w:r>
      <w:r w:rsidRPr="003268EC">
        <w:rPr>
          <w:rFonts w:ascii="Arial" w:hAnsi="Arial" w:cs="Arial"/>
          <w:b/>
          <w:bCs/>
          <w:sz w:val="18"/>
          <w:szCs w:val="18"/>
        </w:rPr>
        <w:t>Sales of unquoted investment and/or properties</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left="720"/>
        <w:jc w:val="both"/>
        <w:rPr>
          <w:rFonts w:ascii="Arial" w:hAnsi="Arial" w:cs="Arial"/>
          <w:sz w:val="18"/>
          <w:szCs w:val="18"/>
        </w:rPr>
      </w:pPr>
      <w:r w:rsidRPr="006C5271">
        <w:rPr>
          <w:rFonts w:ascii="Arial" w:hAnsi="Arial" w:cs="Arial"/>
          <w:sz w:val="18"/>
          <w:szCs w:val="18"/>
        </w:rPr>
        <w:t xml:space="preserve">There were no sales of unquoted investments or properties by the Group for the current </w:t>
      </w:r>
      <w:r>
        <w:rPr>
          <w:rFonts w:ascii="Arial" w:hAnsi="Arial" w:cs="Arial"/>
          <w:sz w:val="18"/>
          <w:szCs w:val="18"/>
        </w:rPr>
        <w:t xml:space="preserve">financial </w:t>
      </w:r>
      <w:r w:rsidRPr="006C5271">
        <w:rPr>
          <w:rFonts w:ascii="Arial" w:hAnsi="Arial" w:cs="Arial"/>
          <w:sz w:val="18"/>
          <w:szCs w:val="18"/>
        </w:rPr>
        <w:t>quarter</w:t>
      </w:r>
      <w:r>
        <w:rPr>
          <w:rFonts w:ascii="Arial" w:hAnsi="Arial" w:cs="Arial"/>
          <w:sz w:val="18"/>
          <w:szCs w:val="18"/>
        </w:rPr>
        <w:t>.</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Pr="00091E20" w:rsidRDefault="00FE4B5C" w:rsidP="00011292">
      <w:pPr>
        <w:spacing w:after="0" w:line="240" w:lineRule="auto"/>
        <w:jc w:val="both"/>
        <w:rPr>
          <w:rFonts w:ascii="Arial" w:hAnsi="Arial" w:cs="Arial"/>
          <w:b/>
          <w:bCs/>
          <w:sz w:val="18"/>
          <w:szCs w:val="18"/>
        </w:rPr>
      </w:pPr>
      <w:r w:rsidRPr="00091E20">
        <w:rPr>
          <w:rFonts w:ascii="Arial" w:hAnsi="Arial" w:cs="Arial"/>
          <w:b/>
          <w:bCs/>
          <w:sz w:val="18"/>
          <w:szCs w:val="18"/>
        </w:rPr>
        <w:t>B</w:t>
      </w:r>
      <w:r>
        <w:rPr>
          <w:rFonts w:ascii="Arial" w:hAnsi="Arial" w:cs="Arial"/>
          <w:b/>
          <w:bCs/>
          <w:sz w:val="18"/>
          <w:szCs w:val="18"/>
        </w:rPr>
        <w:t>7</w:t>
      </w:r>
      <w:r w:rsidRPr="00091E20">
        <w:rPr>
          <w:rFonts w:ascii="Arial" w:hAnsi="Arial" w:cs="Arial"/>
          <w:b/>
          <w:bCs/>
          <w:sz w:val="18"/>
          <w:szCs w:val="18"/>
        </w:rPr>
        <w:t xml:space="preserve">. </w:t>
      </w:r>
      <w:r>
        <w:rPr>
          <w:rFonts w:ascii="Arial" w:hAnsi="Arial" w:cs="Arial"/>
          <w:b/>
          <w:bCs/>
          <w:sz w:val="18"/>
          <w:szCs w:val="18"/>
        </w:rPr>
        <w:tab/>
      </w:r>
      <w:r w:rsidRPr="00091E20">
        <w:rPr>
          <w:rFonts w:ascii="Arial" w:hAnsi="Arial" w:cs="Arial"/>
          <w:b/>
          <w:bCs/>
          <w:sz w:val="18"/>
          <w:szCs w:val="18"/>
        </w:rPr>
        <w:t>Purchase or disposal of quoted securities</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firstLine="720"/>
        <w:jc w:val="both"/>
        <w:rPr>
          <w:rFonts w:ascii="Arial" w:hAnsi="Arial" w:cs="Arial"/>
          <w:sz w:val="18"/>
          <w:szCs w:val="18"/>
        </w:rPr>
      </w:pPr>
      <w:r>
        <w:rPr>
          <w:rFonts w:ascii="Arial" w:hAnsi="Arial" w:cs="Arial"/>
          <w:sz w:val="18"/>
          <w:szCs w:val="18"/>
        </w:rPr>
        <w:t>The Group did not purchase or dispose of any quoted securities during the financial period.</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b/>
          <w:bCs/>
          <w:sz w:val="18"/>
          <w:szCs w:val="18"/>
        </w:rPr>
      </w:pPr>
      <w:r w:rsidRPr="00F52CFE">
        <w:rPr>
          <w:rFonts w:ascii="Arial" w:hAnsi="Arial" w:cs="Arial"/>
          <w:b/>
          <w:bCs/>
          <w:sz w:val="18"/>
          <w:szCs w:val="18"/>
        </w:rPr>
        <w:t xml:space="preserve">B8. </w:t>
      </w:r>
      <w:r>
        <w:rPr>
          <w:rFonts w:ascii="Arial" w:hAnsi="Arial" w:cs="Arial"/>
          <w:b/>
          <w:bCs/>
          <w:sz w:val="18"/>
          <w:szCs w:val="18"/>
        </w:rPr>
        <w:tab/>
      </w:r>
      <w:r w:rsidRPr="00F52CFE">
        <w:rPr>
          <w:rFonts w:ascii="Arial" w:hAnsi="Arial" w:cs="Arial"/>
          <w:b/>
          <w:bCs/>
          <w:sz w:val="18"/>
          <w:szCs w:val="18"/>
        </w:rPr>
        <w:t>Status of corporate proposals</w:t>
      </w:r>
      <w:r>
        <w:rPr>
          <w:rFonts w:ascii="Arial" w:hAnsi="Arial" w:cs="Arial"/>
          <w:b/>
          <w:bCs/>
          <w:sz w:val="18"/>
          <w:szCs w:val="18"/>
        </w:rPr>
        <w:t xml:space="preserve"> and utilisation of proceeds</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sz w:val="18"/>
          <w:szCs w:val="18"/>
        </w:rPr>
      </w:pPr>
      <w:r>
        <w:rPr>
          <w:rFonts w:ascii="Arial" w:hAnsi="Arial" w:cs="Arial"/>
          <w:b/>
          <w:bCs/>
          <w:sz w:val="18"/>
          <w:szCs w:val="18"/>
        </w:rPr>
        <w:tab/>
      </w:r>
      <w:r w:rsidRPr="008362C2">
        <w:rPr>
          <w:rFonts w:ascii="Arial" w:hAnsi="Arial" w:cs="Arial"/>
          <w:sz w:val="18"/>
          <w:szCs w:val="18"/>
        </w:rPr>
        <w:t>In conjunction with</w:t>
      </w:r>
      <w:r>
        <w:rPr>
          <w:rFonts w:ascii="Arial" w:hAnsi="Arial" w:cs="Arial"/>
          <w:sz w:val="18"/>
          <w:szCs w:val="18"/>
        </w:rPr>
        <w:t xml:space="preserve"> and in preparation for the proposed listing, we undertook the following:-</w:t>
      </w:r>
    </w:p>
    <w:p w:rsidR="00FE4B5C" w:rsidRPr="008362C2" w:rsidRDefault="00FE4B5C" w:rsidP="00011292">
      <w:pPr>
        <w:spacing w:after="0" w:line="240" w:lineRule="auto"/>
        <w:jc w:val="both"/>
        <w:rPr>
          <w:rFonts w:ascii="Arial" w:hAnsi="Arial" w:cs="Arial"/>
          <w:sz w:val="18"/>
          <w:szCs w:val="18"/>
        </w:rPr>
      </w:pPr>
    </w:p>
    <w:p w:rsidR="00FE4B5C" w:rsidRDefault="00FE4B5C" w:rsidP="00011292">
      <w:pPr>
        <w:pStyle w:val="ListParagraph"/>
        <w:numPr>
          <w:ilvl w:val="0"/>
          <w:numId w:val="4"/>
        </w:numPr>
        <w:spacing w:after="0" w:line="240" w:lineRule="auto"/>
        <w:jc w:val="both"/>
        <w:rPr>
          <w:rFonts w:ascii="Arial" w:hAnsi="Arial" w:cs="Arial"/>
          <w:b/>
          <w:bCs/>
          <w:sz w:val="18"/>
          <w:szCs w:val="18"/>
        </w:rPr>
      </w:pPr>
      <w:r w:rsidRPr="009B5042">
        <w:rPr>
          <w:rFonts w:ascii="Arial" w:hAnsi="Arial" w:cs="Arial"/>
          <w:b/>
          <w:bCs/>
          <w:sz w:val="18"/>
          <w:szCs w:val="18"/>
        </w:rPr>
        <w:t>Public Issue</w:t>
      </w:r>
    </w:p>
    <w:p w:rsidR="00FE4B5C" w:rsidRDefault="00FE4B5C" w:rsidP="00011292">
      <w:pPr>
        <w:spacing w:after="0" w:line="240" w:lineRule="auto"/>
        <w:ind w:left="720"/>
        <w:jc w:val="both"/>
        <w:rPr>
          <w:rFonts w:ascii="Arial" w:hAnsi="Arial" w:cs="Arial"/>
          <w:sz w:val="18"/>
          <w:szCs w:val="18"/>
        </w:rPr>
      </w:pPr>
    </w:p>
    <w:p w:rsidR="00FE4B5C" w:rsidRDefault="00FE4B5C" w:rsidP="00011292">
      <w:pPr>
        <w:spacing w:after="0" w:line="240" w:lineRule="auto"/>
        <w:ind w:left="720"/>
        <w:jc w:val="both"/>
        <w:rPr>
          <w:rFonts w:ascii="Arial" w:hAnsi="Arial" w:cs="Arial"/>
          <w:sz w:val="18"/>
          <w:szCs w:val="18"/>
        </w:rPr>
      </w:pPr>
      <w:r>
        <w:rPr>
          <w:rFonts w:ascii="Arial" w:hAnsi="Arial" w:cs="Arial"/>
          <w:sz w:val="18"/>
          <w:szCs w:val="18"/>
        </w:rPr>
        <w:t>The</w:t>
      </w:r>
      <w:r w:rsidRPr="00D973DE">
        <w:rPr>
          <w:rFonts w:ascii="Arial" w:hAnsi="Arial" w:cs="Arial"/>
          <w:sz w:val="18"/>
          <w:szCs w:val="18"/>
        </w:rPr>
        <w:t xml:space="preserve"> public issue of 20,124,000 new Ordinary shares representing 20.96% of the enlarged issued and paid-up share capital of the Company at an issue price of RM0.57 per share, payable in full upon application</w:t>
      </w:r>
      <w:r>
        <w:rPr>
          <w:rFonts w:ascii="Arial" w:hAnsi="Arial" w:cs="Arial"/>
          <w:sz w:val="18"/>
          <w:szCs w:val="18"/>
        </w:rPr>
        <w:t>.</w:t>
      </w:r>
    </w:p>
    <w:p w:rsidR="00FE4B5C" w:rsidRDefault="00FE4B5C" w:rsidP="00011292">
      <w:pPr>
        <w:spacing w:after="0" w:line="240" w:lineRule="auto"/>
        <w:ind w:left="720"/>
        <w:jc w:val="both"/>
        <w:rPr>
          <w:rFonts w:ascii="Arial" w:hAnsi="Arial" w:cs="Arial"/>
          <w:b/>
          <w:bCs/>
          <w:sz w:val="18"/>
          <w:szCs w:val="18"/>
        </w:rPr>
      </w:pPr>
    </w:p>
    <w:p w:rsidR="00FE4B5C" w:rsidRPr="00D973DE" w:rsidRDefault="00FE4B5C" w:rsidP="00011292">
      <w:pPr>
        <w:pStyle w:val="ListParagraph"/>
        <w:numPr>
          <w:ilvl w:val="0"/>
          <w:numId w:val="4"/>
        </w:numPr>
        <w:spacing w:after="0" w:line="240" w:lineRule="auto"/>
        <w:jc w:val="both"/>
        <w:rPr>
          <w:rFonts w:ascii="Arial" w:hAnsi="Arial" w:cs="Arial"/>
          <w:b/>
          <w:bCs/>
          <w:sz w:val="18"/>
          <w:szCs w:val="18"/>
        </w:rPr>
      </w:pPr>
      <w:r w:rsidRPr="00D973DE">
        <w:rPr>
          <w:rFonts w:ascii="Arial" w:hAnsi="Arial" w:cs="Arial"/>
          <w:b/>
          <w:bCs/>
          <w:sz w:val="18"/>
          <w:szCs w:val="18"/>
        </w:rPr>
        <w:t>Offer for sale</w:t>
      </w:r>
    </w:p>
    <w:p w:rsidR="00FE4B5C" w:rsidRDefault="00FE4B5C" w:rsidP="00011292">
      <w:pPr>
        <w:spacing w:after="0" w:line="240" w:lineRule="auto"/>
        <w:ind w:left="720"/>
        <w:jc w:val="both"/>
        <w:rPr>
          <w:rFonts w:ascii="Arial" w:hAnsi="Arial" w:cs="Arial"/>
          <w:sz w:val="18"/>
          <w:szCs w:val="18"/>
        </w:rPr>
      </w:pPr>
    </w:p>
    <w:p w:rsidR="00FE4B5C" w:rsidRDefault="00FE4B5C" w:rsidP="00011292">
      <w:pPr>
        <w:spacing w:after="0" w:line="240" w:lineRule="auto"/>
        <w:ind w:left="720"/>
        <w:jc w:val="both"/>
        <w:rPr>
          <w:rFonts w:ascii="Arial" w:hAnsi="Arial" w:cs="Arial"/>
          <w:sz w:val="18"/>
          <w:szCs w:val="18"/>
        </w:rPr>
      </w:pPr>
      <w:r w:rsidRPr="009B5042">
        <w:rPr>
          <w:rFonts w:ascii="Arial" w:hAnsi="Arial" w:cs="Arial"/>
          <w:sz w:val="18"/>
          <w:szCs w:val="18"/>
        </w:rPr>
        <w:t xml:space="preserve">The offer for sale of 22,200,000 </w:t>
      </w:r>
      <w:r>
        <w:rPr>
          <w:rFonts w:ascii="Arial" w:hAnsi="Arial" w:cs="Arial"/>
          <w:sz w:val="18"/>
          <w:szCs w:val="18"/>
        </w:rPr>
        <w:t>Ordinary</w:t>
      </w:r>
      <w:r w:rsidRPr="009B5042">
        <w:rPr>
          <w:rFonts w:ascii="Arial" w:hAnsi="Arial" w:cs="Arial"/>
          <w:sz w:val="18"/>
          <w:szCs w:val="18"/>
        </w:rPr>
        <w:t xml:space="preserve"> Share representing 23.13% of the enlarged issued a</w:t>
      </w:r>
      <w:r>
        <w:rPr>
          <w:rFonts w:ascii="Arial" w:hAnsi="Arial" w:cs="Arial"/>
          <w:sz w:val="18"/>
          <w:szCs w:val="18"/>
        </w:rPr>
        <w:t>nd paid-up share capital of Company</w:t>
      </w:r>
      <w:r w:rsidRPr="009B5042">
        <w:rPr>
          <w:rFonts w:ascii="Arial" w:hAnsi="Arial" w:cs="Arial"/>
          <w:sz w:val="18"/>
          <w:szCs w:val="18"/>
        </w:rPr>
        <w:t xml:space="preserve"> will be offered to identify investors at an offer price of RM0.57 per share, payable in full upon application.</w:t>
      </w:r>
    </w:p>
    <w:p w:rsidR="00FE4B5C" w:rsidRDefault="00FE4B5C" w:rsidP="00011292">
      <w:pPr>
        <w:spacing w:after="0" w:line="240" w:lineRule="auto"/>
        <w:jc w:val="both"/>
        <w:rPr>
          <w:rFonts w:ascii="Arial" w:hAnsi="Arial" w:cs="Arial"/>
          <w:b/>
          <w:bCs/>
          <w:sz w:val="18"/>
          <w:szCs w:val="18"/>
        </w:rPr>
      </w:pPr>
    </w:p>
    <w:p w:rsidR="00FE4B5C" w:rsidRPr="00BA4757" w:rsidRDefault="00FE4B5C" w:rsidP="00011292">
      <w:pPr>
        <w:pStyle w:val="ListParagraph"/>
        <w:numPr>
          <w:ilvl w:val="0"/>
          <w:numId w:val="4"/>
        </w:numPr>
        <w:spacing w:after="0" w:line="240" w:lineRule="auto"/>
        <w:jc w:val="both"/>
        <w:rPr>
          <w:rFonts w:ascii="Arial" w:hAnsi="Arial" w:cs="Arial"/>
          <w:b/>
          <w:bCs/>
          <w:sz w:val="18"/>
          <w:szCs w:val="18"/>
        </w:rPr>
      </w:pPr>
      <w:r w:rsidRPr="00BA4757">
        <w:rPr>
          <w:rFonts w:ascii="Arial" w:hAnsi="Arial" w:cs="Arial"/>
          <w:b/>
          <w:bCs/>
          <w:sz w:val="18"/>
          <w:szCs w:val="18"/>
        </w:rPr>
        <w:t>Listing</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ind w:left="720"/>
        <w:jc w:val="both"/>
        <w:rPr>
          <w:rFonts w:ascii="Arial" w:hAnsi="Arial" w:cs="Arial"/>
          <w:sz w:val="18"/>
          <w:szCs w:val="18"/>
        </w:rPr>
      </w:pPr>
      <w:r w:rsidRPr="009B5042">
        <w:rPr>
          <w:rFonts w:ascii="Arial" w:hAnsi="Arial" w:cs="Arial"/>
          <w:sz w:val="18"/>
          <w:szCs w:val="18"/>
        </w:rPr>
        <w:t xml:space="preserve">Upon completion of the Public Issue and Offer for Sale, </w:t>
      </w:r>
      <w:r>
        <w:rPr>
          <w:rFonts w:ascii="Arial" w:hAnsi="Arial" w:cs="Arial"/>
          <w:sz w:val="18"/>
          <w:szCs w:val="18"/>
        </w:rPr>
        <w:t xml:space="preserve">the Company </w:t>
      </w:r>
      <w:r w:rsidRPr="009B5042">
        <w:rPr>
          <w:rFonts w:ascii="Arial" w:hAnsi="Arial" w:cs="Arial"/>
          <w:sz w:val="18"/>
          <w:szCs w:val="18"/>
        </w:rPr>
        <w:t>will seek the listing of and quotation for its entire enlarged issued and paid-up share capital, comprising 96,000,000 KSSC Shares on the Main Market of the Bursa Malaysia Securities Berhad</w:t>
      </w:r>
      <w:r>
        <w:rPr>
          <w:rFonts w:ascii="Arial" w:hAnsi="Arial" w:cs="Arial"/>
          <w:sz w:val="18"/>
          <w:szCs w:val="18"/>
        </w:rPr>
        <w:t>.</w:t>
      </w:r>
    </w:p>
    <w:p w:rsidR="00FE4B5C" w:rsidRDefault="00FE4B5C" w:rsidP="00011292">
      <w:pPr>
        <w:spacing w:after="0" w:line="240" w:lineRule="auto"/>
        <w:jc w:val="both"/>
        <w:rPr>
          <w:rFonts w:ascii="Arial" w:hAnsi="Arial" w:cs="Arial"/>
          <w:sz w:val="18"/>
          <w:szCs w:val="18"/>
        </w:rPr>
      </w:pPr>
    </w:p>
    <w:p w:rsidR="00FE4B5C" w:rsidRPr="00BA4757" w:rsidRDefault="00FE4B5C" w:rsidP="00011292">
      <w:pPr>
        <w:pStyle w:val="ListParagraph"/>
        <w:numPr>
          <w:ilvl w:val="0"/>
          <w:numId w:val="4"/>
        </w:numPr>
        <w:spacing w:after="0" w:line="240" w:lineRule="auto"/>
        <w:jc w:val="both"/>
        <w:rPr>
          <w:rFonts w:ascii="Arial" w:hAnsi="Arial" w:cs="Arial"/>
          <w:b/>
          <w:bCs/>
          <w:sz w:val="18"/>
          <w:szCs w:val="18"/>
        </w:rPr>
      </w:pPr>
      <w:r w:rsidRPr="00BA4757">
        <w:rPr>
          <w:rFonts w:ascii="Arial" w:hAnsi="Arial" w:cs="Arial"/>
          <w:b/>
          <w:bCs/>
          <w:sz w:val="18"/>
          <w:szCs w:val="18"/>
        </w:rPr>
        <w:t>Utilisation of proceeds</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ind w:left="720"/>
        <w:jc w:val="both"/>
        <w:rPr>
          <w:rFonts w:ascii="Arial" w:hAnsi="Arial" w:cs="Arial"/>
          <w:sz w:val="18"/>
          <w:szCs w:val="18"/>
        </w:rPr>
      </w:pPr>
      <w:r>
        <w:rPr>
          <w:rFonts w:ascii="Arial" w:hAnsi="Arial" w:cs="Arial"/>
          <w:sz w:val="18"/>
          <w:szCs w:val="18"/>
        </w:rPr>
        <w:t>The Group expects the total gross proceeds from the public issue to amount to approximately RM11.47 million based on the issue price of RM0.57. The Group expects the proceeds to be utilised in the following manner:-</w:t>
      </w:r>
    </w:p>
    <w:tbl>
      <w:tblPr>
        <w:tblW w:w="9468" w:type="dxa"/>
        <w:tblInd w:w="-106" w:type="dxa"/>
        <w:tblLayout w:type="fixed"/>
        <w:tblLook w:val="00A0"/>
      </w:tblPr>
      <w:tblGrid>
        <w:gridCol w:w="4698"/>
        <w:gridCol w:w="1440"/>
        <w:gridCol w:w="3330"/>
      </w:tblGrid>
      <w:tr w:rsidR="00FE4B5C" w:rsidRPr="00174132">
        <w:tc>
          <w:tcPr>
            <w:tcW w:w="4698" w:type="dxa"/>
          </w:tcPr>
          <w:p w:rsidR="00FE4B5C" w:rsidRPr="00174132" w:rsidRDefault="00FE4B5C" w:rsidP="00174132">
            <w:pPr>
              <w:spacing w:after="0" w:line="240" w:lineRule="auto"/>
              <w:jc w:val="both"/>
              <w:rPr>
                <w:rFonts w:ascii="Arial" w:hAnsi="Arial" w:cs="Arial"/>
                <w:sz w:val="18"/>
                <w:szCs w:val="18"/>
              </w:rPr>
            </w:pPr>
          </w:p>
        </w:tc>
        <w:tc>
          <w:tcPr>
            <w:tcW w:w="1440" w:type="dxa"/>
          </w:tcPr>
          <w:p w:rsidR="00FE4B5C" w:rsidRPr="00174132" w:rsidRDefault="00FE4B5C" w:rsidP="00174132">
            <w:pPr>
              <w:spacing w:after="0" w:line="240" w:lineRule="auto"/>
              <w:jc w:val="right"/>
              <w:rPr>
                <w:rFonts w:ascii="Arial" w:hAnsi="Arial" w:cs="Arial"/>
                <w:b/>
                <w:bCs/>
                <w:sz w:val="18"/>
                <w:szCs w:val="18"/>
              </w:rPr>
            </w:pPr>
            <w:r w:rsidRPr="00174132">
              <w:rPr>
                <w:rFonts w:ascii="Arial" w:hAnsi="Arial" w:cs="Arial"/>
                <w:b/>
                <w:bCs/>
                <w:sz w:val="18"/>
                <w:szCs w:val="18"/>
              </w:rPr>
              <w:t xml:space="preserve">Proposed </w:t>
            </w:r>
          </w:p>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Utilisation</w:t>
            </w:r>
          </w:p>
        </w:tc>
        <w:tc>
          <w:tcPr>
            <w:tcW w:w="3330" w:type="dxa"/>
          </w:tcPr>
          <w:p w:rsidR="00FE4B5C" w:rsidRPr="00174132" w:rsidRDefault="00FE4B5C" w:rsidP="00174132">
            <w:pPr>
              <w:spacing w:after="0" w:line="240" w:lineRule="auto"/>
              <w:jc w:val="both"/>
              <w:rPr>
                <w:rFonts w:ascii="Arial" w:hAnsi="Arial" w:cs="Arial"/>
                <w:b/>
                <w:bCs/>
                <w:sz w:val="18"/>
                <w:szCs w:val="18"/>
              </w:rPr>
            </w:pPr>
          </w:p>
          <w:p w:rsidR="00FE4B5C" w:rsidRPr="00174132" w:rsidRDefault="00FE4B5C" w:rsidP="00174132">
            <w:pPr>
              <w:spacing w:after="0" w:line="240" w:lineRule="auto"/>
              <w:jc w:val="both"/>
              <w:rPr>
                <w:rFonts w:ascii="Arial" w:hAnsi="Arial" w:cs="Arial"/>
                <w:sz w:val="18"/>
                <w:szCs w:val="18"/>
              </w:rPr>
            </w:pPr>
            <w:r w:rsidRPr="00174132">
              <w:rPr>
                <w:rFonts w:ascii="Arial" w:hAnsi="Arial" w:cs="Arial"/>
                <w:b/>
                <w:bCs/>
                <w:sz w:val="18"/>
                <w:szCs w:val="18"/>
              </w:rPr>
              <w:t>Intended timeframe for Utilisation</w:t>
            </w:r>
          </w:p>
        </w:tc>
      </w:tr>
      <w:tr w:rsidR="00FE4B5C" w:rsidRPr="00174132">
        <w:tc>
          <w:tcPr>
            <w:tcW w:w="4698" w:type="dxa"/>
          </w:tcPr>
          <w:p w:rsidR="00FE4B5C" w:rsidRPr="00174132" w:rsidRDefault="00FE4B5C" w:rsidP="00174132">
            <w:pPr>
              <w:spacing w:after="0" w:line="240" w:lineRule="auto"/>
              <w:jc w:val="both"/>
              <w:rPr>
                <w:rFonts w:ascii="Arial" w:hAnsi="Arial" w:cs="Arial"/>
                <w:sz w:val="18"/>
                <w:szCs w:val="18"/>
              </w:rPr>
            </w:pPr>
          </w:p>
        </w:tc>
        <w:tc>
          <w:tcPr>
            <w:tcW w:w="144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b/>
                <w:bCs/>
                <w:sz w:val="18"/>
                <w:szCs w:val="18"/>
              </w:rPr>
              <w:t>RM’000</w:t>
            </w:r>
          </w:p>
        </w:tc>
        <w:tc>
          <w:tcPr>
            <w:tcW w:w="3330" w:type="dxa"/>
          </w:tcPr>
          <w:p w:rsidR="00FE4B5C" w:rsidRPr="00174132" w:rsidRDefault="00FE4B5C" w:rsidP="00174132">
            <w:pPr>
              <w:spacing w:after="0" w:line="240" w:lineRule="auto"/>
              <w:jc w:val="both"/>
              <w:rPr>
                <w:rFonts w:ascii="Arial" w:hAnsi="Arial" w:cs="Arial"/>
                <w:sz w:val="18"/>
                <w:szCs w:val="18"/>
              </w:rPr>
            </w:pPr>
          </w:p>
        </w:tc>
      </w:tr>
      <w:tr w:rsidR="00FE4B5C" w:rsidRPr="00174132">
        <w:tc>
          <w:tcPr>
            <w:tcW w:w="4698" w:type="dxa"/>
          </w:tcPr>
          <w:p w:rsidR="00FE4B5C" w:rsidRPr="00174132" w:rsidRDefault="00FE4B5C" w:rsidP="00174132">
            <w:pPr>
              <w:spacing w:after="0" w:line="240" w:lineRule="auto"/>
              <w:ind w:left="360"/>
              <w:jc w:val="both"/>
              <w:rPr>
                <w:rFonts w:ascii="Arial" w:hAnsi="Arial" w:cs="Arial"/>
                <w:sz w:val="18"/>
                <w:szCs w:val="18"/>
              </w:rPr>
            </w:pPr>
            <w:r w:rsidRPr="00174132">
              <w:rPr>
                <w:rFonts w:ascii="Arial" w:hAnsi="Arial" w:cs="Arial"/>
                <w:sz w:val="18"/>
                <w:szCs w:val="18"/>
              </w:rPr>
              <w:t xml:space="preserve">Business expansion and capital expenditure </w:t>
            </w:r>
          </w:p>
        </w:tc>
        <w:tc>
          <w:tcPr>
            <w:tcW w:w="144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3,310</w:t>
            </w:r>
          </w:p>
        </w:tc>
        <w:tc>
          <w:tcPr>
            <w:tcW w:w="3330" w:type="dxa"/>
          </w:tcPr>
          <w:p w:rsidR="00FE4B5C" w:rsidRPr="00174132" w:rsidRDefault="00FE4B5C" w:rsidP="00174132">
            <w:pPr>
              <w:spacing w:after="0" w:line="240" w:lineRule="auto"/>
              <w:jc w:val="both"/>
              <w:rPr>
                <w:rFonts w:ascii="Arial" w:hAnsi="Arial" w:cs="Arial"/>
                <w:sz w:val="18"/>
                <w:szCs w:val="18"/>
              </w:rPr>
            </w:pPr>
            <w:r w:rsidRPr="00174132">
              <w:rPr>
                <w:rFonts w:ascii="Arial" w:hAnsi="Arial" w:cs="Arial"/>
                <w:sz w:val="18"/>
                <w:szCs w:val="18"/>
              </w:rPr>
              <w:t>Within one (1) year after listing</w:t>
            </w:r>
          </w:p>
        </w:tc>
      </w:tr>
      <w:tr w:rsidR="00FE4B5C" w:rsidRPr="00174132">
        <w:tc>
          <w:tcPr>
            <w:tcW w:w="4698" w:type="dxa"/>
          </w:tcPr>
          <w:p w:rsidR="00FE4B5C" w:rsidRPr="00174132" w:rsidRDefault="00FE4B5C" w:rsidP="00174132">
            <w:pPr>
              <w:spacing w:after="0" w:line="240" w:lineRule="auto"/>
              <w:ind w:left="360"/>
              <w:jc w:val="both"/>
              <w:rPr>
                <w:rFonts w:ascii="Arial" w:hAnsi="Arial" w:cs="Arial"/>
                <w:sz w:val="18"/>
                <w:szCs w:val="18"/>
              </w:rPr>
            </w:pPr>
            <w:r w:rsidRPr="00174132">
              <w:rPr>
                <w:rFonts w:ascii="Arial" w:hAnsi="Arial" w:cs="Arial"/>
                <w:sz w:val="18"/>
                <w:szCs w:val="18"/>
              </w:rPr>
              <w:t xml:space="preserve">Working capital </w:t>
            </w:r>
          </w:p>
        </w:tc>
        <w:tc>
          <w:tcPr>
            <w:tcW w:w="144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6,260</w:t>
            </w:r>
          </w:p>
        </w:tc>
        <w:tc>
          <w:tcPr>
            <w:tcW w:w="3330" w:type="dxa"/>
          </w:tcPr>
          <w:p w:rsidR="00FE4B5C" w:rsidRPr="00174132" w:rsidRDefault="00FE4B5C" w:rsidP="00174132">
            <w:pPr>
              <w:spacing w:after="0" w:line="240" w:lineRule="auto"/>
              <w:jc w:val="both"/>
              <w:rPr>
                <w:rFonts w:ascii="Arial" w:hAnsi="Arial" w:cs="Arial"/>
                <w:sz w:val="18"/>
                <w:szCs w:val="18"/>
              </w:rPr>
            </w:pPr>
            <w:r w:rsidRPr="00174132">
              <w:rPr>
                <w:rFonts w:ascii="Arial" w:hAnsi="Arial" w:cs="Arial"/>
                <w:sz w:val="18"/>
                <w:szCs w:val="18"/>
              </w:rPr>
              <w:t>Within one (1) year after listing</w:t>
            </w:r>
          </w:p>
        </w:tc>
      </w:tr>
      <w:tr w:rsidR="00FE4B5C" w:rsidRPr="00174132">
        <w:tc>
          <w:tcPr>
            <w:tcW w:w="4698" w:type="dxa"/>
          </w:tcPr>
          <w:p w:rsidR="00FE4B5C" w:rsidRPr="00174132" w:rsidRDefault="00FE4B5C" w:rsidP="00174132">
            <w:pPr>
              <w:spacing w:after="0" w:line="240" w:lineRule="auto"/>
              <w:ind w:left="360"/>
              <w:jc w:val="both"/>
              <w:rPr>
                <w:rFonts w:ascii="Arial" w:hAnsi="Arial" w:cs="Arial"/>
                <w:sz w:val="18"/>
                <w:szCs w:val="18"/>
              </w:rPr>
            </w:pPr>
            <w:r w:rsidRPr="00174132">
              <w:rPr>
                <w:rFonts w:ascii="Arial" w:hAnsi="Arial" w:cs="Arial"/>
                <w:sz w:val="18"/>
                <w:szCs w:val="18"/>
              </w:rPr>
              <w:t xml:space="preserve">Estimated listing expenses </w:t>
            </w:r>
          </w:p>
        </w:tc>
        <w:tc>
          <w:tcPr>
            <w:tcW w:w="1440" w:type="dxa"/>
            <w:tcBorders>
              <w:bottom w:val="single" w:sz="4" w:space="0" w:color="auto"/>
            </w:tcBorders>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1,900</w:t>
            </w:r>
          </w:p>
        </w:tc>
        <w:tc>
          <w:tcPr>
            <w:tcW w:w="3330" w:type="dxa"/>
          </w:tcPr>
          <w:p w:rsidR="00FE4B5C" w:rsidRPr="00174132" w:rsidRDefault="00FE4B5C" w:rsidP="00174132">
            <w:pPr>
              <w:tabs>
                <w:tab w:val="left" w:pos="0"/>
              </w:tabs>
              <w:spacing w:after="0" w:line="240" w:lineRule="auto"/>
              <w:jc w:val="both"/>
              <w:rPr>
                <w:rFonts w:ascii="Arial" w:hAnsi="Arial" w:cs="Arial"/>
                <w:sz w:val="18"/>
                <w:szCs w:val="18"/>
              </w:rPr>
            </w:pPr>
            <w:r w:rsidRPr="00174132">
              <w:rPr>
                <w:rFonts w:ascii="Arial" w:hAnsi="Arial" w:cs="Arial"/>
                <w:sz w:val="18"/>
                <w:szCs w:val="18"/>
              </w:rPr>
              <w:t>Within one (1) month after listing</w:t>
            </w:r>
          </w:p>
        </w:tc>
      </w:tr>
      <w:tr w:rsidR="00FE4B5C" w:rsidRPr="00174132">
        <w:tc>
          <w:tcPr>
            <w:tcW w:w="4698" w:type="dxa"/>
          </w:tcPr>
          <w:p w:rsidR="00FE4B5C" w:rsidRPr="00174132" w:rsidRDefault="00FE4B5C" w:rsidP="00174132">
            <w:pPr>
              <w:spacing w:after="0" w:line="240" w:lineRule="auto"/>
              <w:ind w:left="360"/>
              <w:jc w:val="both"/>
              <w:rPr>
                <w:rFonts w:ascii="Arial" w:hAnsi="Arial" w:cs="Arial"/>
                <w:b/>
                <w:bCs/>
                <w:sz w:val="18"/>
                <w:szCs w:val="18"/>
              </w:rPr>
            </w:pPr>
            <w:r w:rsidRPr="00174132">
              <w:rPr>
                <w:rFonts w:ascii="Arial" w:hAnsi="Arial" w:cs="Arial"/>
                <w:b/>
                <w:bCs/>
                <w:sz w:val="18"/>
                <w:szCs w:val="18"/>
              </w:rPr>
              <w:t>Total</w:t>
            </w:r>
          </w:p>
        </w:tc>
        <w:tc>
          <w:tcPr>
            <w:tcW w:w="1440" w:type="dxa"/>
            <w:tcBorders>
              <w:top w:val="single" w:sz="4" w:space="0" w:color="auto"/>
            </w:tcBorders>
          </w:tcPr>
          <w:p w:rsidR="00FE4B5C" w:rsidRPr="00174132" w:rsidRDefault="00FE4B5C" w:rsidP="00174132">
            <w:pPr>
              <w:tabs>
                <w:tab w:val="center" w:pos="927"/>
                <w:tab w:val="right" w:pos="1854"/>
              </w:tabs>
              <w:spacing w:after="0" w:line="240" w:lineRule="auto"/>
              <w:jc w:val="right"/>
              <w:rPr>
                <w:rFonts w:ascii="Arial" w:hAnsi="Arial" w:cs="Arial"/>
                <w:b/>
                <w:bCs/>
                <w:sz w:val="18"/>
                <w:szCs w:val="18"/>
              </w:rPr>
            </w:pPr>
            <w:r w:rsidRPr="00174132">
              <w:rPr>
                <w:rFonts w:ascii="Arial" w:hAnsi="Arial" w:cs="Arial"/>
                <w:b/>
                <w:bCs/>
                <w:sz w:val="18"/>
                <w:szCs w:val="18"/>
              </w:rPr>
              <w:tab/>
              <w:t>11,470</w:t>
            </w:r>
          </w:p>
        </w:tc>
        <w:tc>
          <w:tcPr>
            <w:tcW w:w="3330" w:type="dxa"/>
          </w:tcPr>
          <w:p w:rsidR="00FE4B5C" w:rsidRPr="00174132" w:rsidRDefault="00FE4B5C" w:rsidP="00174132">
            <w:pPr>
              <w:spacing w:after="0" w:line="240" w:lineRule="auto"/>
              <w:jc w:val="both"/>
              <w:rPr>
                <w:rFonts w:ascii="Arial" w:hAnsi="Arial" w:cs="Arial"/>
                <w:sz w:val="18"/>
                <w:szCs w:val="18"/>
              </w:rPr>
            </w:pPr>
          </w:p>
        </w:tc>
      </w:tr>
      <w:tr w:rsidR="00FE4B5C" w:rsidRPr="00174132">
        <w:tblPrEx>
          <w:tblBorders>
            <w:top w:val="double" w:sz="4" w:space="0" w:color="auto"/>
          </w:tblBorders>
          <w:tblLook w:val="0000"/>
        </w:tblPrEx>
        <w:trPr>
          <w:gridBefore w:val="1"/>
          <w:gridAfter w:val="1"/>
          <w:wAfter w:w="3330" w:type="dxa"/>
          <w:trHeight w:val="125"/>
        </w:trPr>
        <w:tc>
          <w:tcPr>
            <w:tcW w:w="1440" w:type="dxa"/>
            <w:tcBorders>
              <w:top w:val="double" w:sz="4" w:space="0" w:color="auto"/>
            </w:tcBorders>
          </w:tcPr>
          <w:p w:rsidR="00FE4B5C" w:rsidRPr="00174132" w:rsidRDefault="00FE4B5C" w:rsidP="00174132">
            <w:pPr>
              <w:spacing w:after="0" w:line="240" w:lineRule="auto"/>
              <w:jc w:val="both"/>
              <w:rPr>
                <w:rFonts w:ascii="Arial" w:hAnsi="Arial" w:cs="Arial"/>
                <w:sz w:val="18"/>
                <w:szCs w:val="18"/>
              </w:rPr>
            </w:pPr>
          </w:p>
        </w:tc>
      </w:tr>
    </w:tbl>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b/>
          <w:bCs/>
          <w:sz w:val="18"/>
          <w:szCs w:val="18"/>
        </w:rPr>
      </w:pPr>
      <w:r w:rsidRPr="00EB6E05">
        <w:rPr>
          <w:rFonts w:ascii="Arial" w:hAnsi="Arial" w:cs="Arial"/>
          <w:b/>
          <w:bCs/>
          <w:sz w:val="18"/>
          <w:szCs w:val="18"/>
        </w:rPr>
        <w:t xml:space="preserve">B9. </w:t>
      </w:r>
      <w:r>
        <w:rPr>
          <w:rFonts w:ascii="Arial" w:hAnsi="Arial" w:cs="Arial"/>
          <w:b/>
          <w:bCs/>
          <w:sz w:val="18"/>
          <w:szCs w:val="18"/>
        </w:rPr>
        <w:tab/>
      </w:r>
      <w:r w:rsidRPr="00EB6E05">
        <w:rPr>
          <w:rFonts w:ascii="Arial" w:hAnsi="Arial" w:cs="Arial"/>
          <w:b/>
          <w:bCs/>
          <w:sz w:val="18"/>
          <w:szCs w:val="18"/>
        </w:rPr>
        <w:t>Borrowings and debts securities</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r>
        <w:rPr>
          <w:rFonts w:ascii="Arial" w:hAnsi="Arial" w:cs="Arial"/>
          <w:sz w:val="18"/>
          <w:szCs w:val="18"/>
        </w:rPr>
        <w:tab/>
        <w:t>The Group’s borrowings as at 31 December 2010 are as follows:</w:t>
      </w:r>
    </w:p>
    <w:tbl>
      <w:tblPr>
        <w:tblW w:w="0" w:type="auto"/>
        <w:tblInd w:w="-106" w:type="dxa"/>
        <w:tblLook w:val="00A0"/>
      </w:tblPr>
      <w:tblGrid>
        <w:gridCol w:w="7016"/>
        <w:gridCol w:w="1530"/>
      </w:tblGrid>
      <w:tr w:rsidR="00FE4B5C" w:rsidRPr="00174132">
        <w:tc>
          <w:tcPr>
            <w:tcW w:w="7016" w:type="dxa"/>
          </w:tcPr>
          <w:p w:rsidR="00FE4B5C" w:rsidRPr="00174132" w:rsidRDefault="00FE4B5C" w:rsidP="00174132">
            <w:pPr>
              <w:spacing w:after="0" w:line="240" w:lineRule="auto"/>
              <w:jc w:val="both"/>
              <w:rPr>
                <w:rFonts w:ascii="Arial" w:hAnsi="Arial" w:cs="Arial"/>
                <w:b/>
                <w:bCs/>
                <w:sz w:val="18"/>
                <w:szCs w:val="18"/>
              </w:rPr>
            </w:pPr>
          </w:p>
        </w:tc>
        <w:tc>
          <w:tcPr>
            <w:tcW w:w="1530" w:type="dxa"/>
          </w:tcPr>
          <w:p w:rsidR="00FE4B5C" w:rsidRPr="00174132" w:rsidRDefault="00FE4B5C" w:rsidP="00174132">
            <w:pPr>
              <w:tabs>
                <w:tab w:val="left" w:pos="7290"/>
              </w:tabs>
              <w:spacing w:after="0" w:line="240" w:lineRule="auto"/>
              <w:jc w:val="right"/>
              <w:rPr>
                <w:rFonts w:ascii="Arial" w:hAnsi="Arial" w:cs="Arial"/>
                <w:b/>
                <w:bCs/>
                <w:sz w:val="18"/>
                <w:szCs w:val="18"/>
              </w:rPr>
            </w:pPr>
            <w:r w:rsidRPr="00174132">
              <w:rPr>
                <w:rFonts w:ascii="Arial" w:hAnsi="Arial" w:cs="Arial"/>
                <w:b/>
                <w:bCs/>
                <w:sz w:val="18"/>
                <w:szCs w:val="18"/>
              </w:rPr>
              <w:t>Period to date</w:t>
            </w:r>
          </w:p>
        </w:tc>
      </w:tr>
      <w:tr w:rsidR="00FE4B5C" w:rsidRPr="00174132">
        <w:tc>
          <w:tcPr>
            <w:tcW w:w="7016" w:type="dxa"/>
          </w:tcPr>
          <w:p w:rsidR="00FE4B5C" w:rsidRPr="00174132" w:rsidRDefault="00FE4B5C" w:rsidP="00174132">
            <w:pPr>
              <w:tabs>
                <w:tab w:val="left" w:pos="7290"/>
              </w:tabs>
              <w:spacing w:after="0" w:line="240" w:lineRule="auto"/>
              <w:jc w:val="both"/>
              <w:rPr>
                <w:rFonts w:ascii="Arial" w:hAnsi="Arial" w:cs="Arial"/>
                <w:b/>
                <w:bCs/>
                <w:sz w:val="18"/>
                <w:szCs w:val="18"/>
              </w:rPr>
            </w:pPr>
          </w:p>
        </w:tc>
        <w:tc>
          <w:tcPr>
            <w:tcW w:w="1530" w:type="dxa"/>
          </w:tcPr>
          <w:p w:rsidR="00FE4B5C" w:rsidRPr="00174132" w:rsidRDefault="00FE4B5C" w:rsidP="00174132">
            <w:pPr>
              <w:tabs>
                <w:tab w:val="left" w:pos="7290"/>
              </w:tabs>
              <w:spacing w:after="0" w:line="240" w:lineRule="auto"/>
              <w:jc w:val="right"/>
              <w:rPr>
                <w:rFonts w:ascii="Arial" w:hAnsi="Arial" w:cs="Arial"/>
                <w:b/>
                <w:bCs/>
                <w:sz w:val="18"/>
                <w:szCs w:val="18"/>
              </w:rPr>
            </w:pPr>
            <w:r w:rsidRPr="00174132">
              <w:rPr>
                <w:rFonts w:ascii="Arial" w:hAnsi="Arial" w:cs="Arial"/>
                <w:b/>
                <w:bCs/>
                <w:sz w:val="18"/>
                <w:szCs w:val="18"/>
              </w:rPr>
              <w:t>31-Dec-2010</w:t>
            </w:r>
          </w:p>
        </w:tc>
      </w:tr>
      <w:tr w:rsidR="00FE4B5C" w:rsidRPr="00174132">
        <w:tc>
          <w:tcPr>
            <w:tcW w:w="7016" w:type="dxa"/>
          </w:tcPr>
          <w:p w:rsidR="00FE4B5C" w:rsidRPr="00174132" w:rsidRDefault="00FE4B5C" w:rsidP="00174132">
            <w:pPr>
              <w:tabs>
                <w:tab w:val="left" w:pos="7290"/>
              </w:tabs>
              <w:spacing w:after="0" w:line="240" w:lineRule="auto"/>
              <w:ind w:left="720"/>
              <w:jc w:val="both"/>
              <w:rPr>
                <w:rFonts w:ascii="Arial" w:hAnsi="Arial" w:cs="Arial"/>
                <w:b/>
                <w:bCs/>
                <w:sz w:val="18"/>
                <w:szCs w:val="18"/>
              </w:rPr>
            </w:pPr>
            <w:r w:rsidRPr="00174132">
              <w:rPr>
                <w:rFonts w:ascii="Arial" w:hAnsi="Arial" w:cs="Arial"/>
                <w:b/>
                <w:bCs/>
                <w:sz w:val="18"/>
                <w:szCs w:val="18"/>
              </w:rPr>
              <w:t>Short term borrowings:</w:t>
            </w:r>
          </w:p>
        </w:tc>
        <w:tc>
          <w:tcPr>
            <w:tcW w:w="1530" w:type="dxa"/>
          </w:tcPr>
          <w:p w:rsidR="00FE4B5C" w:rsidRPr="00174132" w:rsidRDefault="00FE4B5C" w:rsidP="00174132">
            <w:pPr>
              <w:tabs>
                <w:tab w:val="left" w:pos="7290"/>
              </w:tabs>
              <w:spacing w:after="0" w:line="240" w:lineRule="auto"/>
              <w:jc w:val="right"/>
              <w:rPr>
                <w:rFonts w:ascii="Arial" w:hAnsi="Arial" w:cs="Arial"/>
                <w:b/>
                <w:bCs/>
                <w:sz w:val="18"/>
                <w:szCs w:val="18"/>
              </w:rPr>
            </w:pPr>
            <w:r w:rsidRPr="00174132">
              <w:rPr>
                <w:rFonts w:ascii="Arial" w:hAnsi="Arial" w:cs="Arial"/>
                <w:b/>
                <w:bCs/>
                <w:sz w:val="18"/>
                <w:szCs w:val="18"/>
              </w:rPr>
              <w:t>RM’000</w:t>
            </w:r>
          </w:p>
        </w:tc>
      </w:tr>
      <w:tr w:rsidR="00FE4B5C" w:rsidRPr="00174132">
        <w:tc>
          <w:tcPr>
            <w:tcW w:w="7016" w:type="dxa"/>
          </w:tcPr>
          <w:p w:rsidR="00FE4B5C" w:rsidRPr="00174132" w:rsidRDefault="00FE4B5C" w:rsidP="00174132">
            <w:pPr>
              <w:spacing w:after="0" w:line="240" w:lineRule="auto"/>
              <w:ind w:left="720"/>
              <w:jc w:val="both"/>
              <w:rPr>
                <w:rFonts w:ascii="Arial" w:hAnsi="Arial" w:cs="Arial"/>
                <w:b/>
                <w:bCs/>
                <w:sz w:val="18"/>
                <w:szCs w:val="18"/>
              </w:rPr>
            </w:pPr>
            <w:r w:rsidRPr="00174132">
              <w:rPr>
                <w:rFonts w:ascii="Arial" w:hAnsi="Arial" w:cs="Arial"/>
                <w:sz w:val="18"/>
                <w:szCs w:val="18"/>
              </w:rPr>
              <w:t>Secured:</w:t>
            </w:r>
          </w:p>
        </w:tc>
        <w:tc>
          <w:tcPr>
            <w:tcW w:w="1530" w:type="dxa"/>
          </w:tcPr>
          <w:p w:rsidR="00FE4B5C" w:rsidRPr="00174132" w:rsidRDefault="00FE4B5C" w:rsidP="00174132">
            <w:pPr>
              <w:tabs>
                <w:tab w:val="left" w:pos="7290"/>
              </w:tabs>
              <w:spacing w:after="0" w:line="240" w:lineRule="auto"/>
              <w:jc w:val="right"/>
              <w:rPr>
                <w:rFonts w:ascii="Arial" w:hAnsi="Arial" w:cs="Arial"/>
                <w:b/>
                <w:bCs/>
                <w:sz w:val="18"/>
                <w:szCs w:val="18"/>
              </w:rPr>
            </w:pPr>
          </w:p>
        </w:tc>
      </w:tr>
      <w:tr w:rsidR="00FE4B5C" w:rsidRPr="00174132">
        <w:tc>
          <w:tcPr>
            <w:tcW w:w="7016" w:type="dxa"/>
          </w:tcPr>
          <w:p w:rsidR="00FE4B5C" w:rsidRPr="00174132" w:rsidRDefault="00FE4B5C" w:rsidP="00174132">
            <w:pPr>
              <w:tabs>
                <w:tab w:val="left" w:pos="7290"/>
              </w:tabs>
              <w:spacing w:after="0" w:line="240" w:lineRule="auto"/>
              <w:ind w:left="720"/>
              <w:jc w:val="both"/>
              <w:rPr>
                <w:rFonts w:ascii="Arial" w:hAnsi="Arial" w:cs="Arial"/>
                <w:b/>
                <w:bCs/>
                <w:sz w:val="18"/>
                <w:szCs w:val="18"/>
              </w:rPr>
            </w:pPr>
            <w:r w:rsidRPr="00174132">
              <w:rPr>
                <w:rFonts w:ascii="Arial" w:hAnsi="Arial" w:cs="Arial"/>
                <w:sz w:val="18"/>
                <w:szCs w:val="18"/>
              </w:rPr>
              <w:t>Hire purchases</w:t>
            </w:r>
            <w:r w:rsidRPr="00174132">
              <w:rPr>
                <w:rFonts w:ascii="Arial" w:hAnsi="Arial" w:cs="Arial"/>
                <w:sz w:val="18"/>
                <w:szCs w:val="18"/>
              </w:rPr>
              <w:tab/>
            </w:r>
          </w:p>
        </w:tc>
        <w:tc>
          <w:tcPr>
            <w:tcW w:w="1530" w:type="dxa"/>
          </w:tcPr>
          <w:p w:rsidR="00FE4B5C" w:rsidRPr="00174132" w:rsidRDefault="00FE4B5C" w:rsidP="00174132">
            <w:pPr>
              <w:tabs>
                <w:tab w:val="left" w:pos="7290"/>
              </w:tabs>
              <w:spacing w:after="0" w:line="240" w:lineRule="auto"/>
              <w:jc w:val="right"/>
              <w:rPr>
                <w:rFonts w:ascii="Arial" w:hAnsi="Arial" w:cs="Arial"/>
                <w:sz w:val="18"/>
                <w:szCs w:val="18"/>
              </w:rPr>
            </w:pPr>
            <w:r w:rsidRPr="00174132">
              <w:rPr>
                <w:rFonts w:ascii="Arial" w:hAnsi="Arial" w:cs="Arial"/>
                <w:sz w:val="18"/>
                <w:szCs w:val="18"/>
              </w:rPr>
              <w:t>185</w:t>
            </w:r>
          </w:p>
        </w:tc>
      </w:tr>
      <w:tr w:rsidR="00FE4B5C" w:rsidRPr="00174132">
        <w:trPr>
          <w:trHeight w:val="126"/>
        </w:trPr>
        <w:tc>
          <w:tcPr>
            <w:tcW w:w="7016" w:type="dxa"/>
          </w:tcPr>
          <w:p w:rsidR="00FE4B5C" w:rsidRPr="00174132" w:rsidRDefault="00FE4B5C" w:rsidP="00174132">
            <w:pPr>
              <w:tabs>
                <w:tab w:val="left" w:pos="7290"/>
              </w:tabs>
              <w:spacing w:after="0" w:line="240" w:lineRule="auto"/>
              <w:ind w:left="720"/>
              <w:jc w:val="both"/>
              <w:rPr>
                <w:rFonts w:ascii="Arial" w:hAnsi="Arial" w:cs="Arial"/>
                <w:b/>
                <w:bCs/>
                <w:sz w:val="18"/>
                <w:szCs w:val="18"/>
              </w:rPr>
            </w:pPr>
            <w:r w:rsidRPr="00174132">
              <w:rPr>
                <w:rFonts w:ascii="Arial" w:hAnsi="Arial" w:cs="Arial"/>
                <w:sz w:val="18"/>
                <w:szCs w:val="18"/>
              </w:rPr>
              <w:t>Bankers acceptances</w:t>
            </w:r>
          </w:p>
        </w:tc>
        <w:tc>
          <w:tcPr>
            <w:tcW w:w="1530" w:type="dxa"/>
          </w:tcPr>
          <w:p w:rsidR="00FE4B5C" w:rsidRPr="00174132" w:rsidRDefault="00FE4B5C" w:rsidP="00174132">
            <w:pPr>
              <w:spacing w:after="0" w:line="240" w:lineRule="auto"/>
              <w:jc w:val="right"/>
              <w:rPr>
                <w:rFonts w:ascii="Arial" w:hAnsi="Arial" w:cs="Arial"/>
                <w:sz w:val="18"/>
                <w:szCs w:val="18"/>
              </w:rPr>
            </w:pPr>
            <w:r w:rsidRPr="00174132">
              <w:rPr>
                <w:rFonts w:ascii="Arial" w:hAnsi="Arial" w:cs="Arial"/>
                <w:sz w:val="18"/>
                <w:szCs w:val="18"/>
              </w:rPr>
              <w:t>25,461</w:t>
            </w:r>
          </w:p>
        </w:tc>
      </w:tr>
      <w:tr w:rsidR="00FE4B5C" w:rsidRPr="00174132">
        <w:tc>
          <w:tcPr>
            <w:tcW w:w="7016" w:type="dxa"/>
          </w:tcPr>
          <w:p w:rsidR="00FE4B5C" w:rsidRPr="00174132" w:rsidRDefault="00FE4B5C" w:rsidP="00174132">
            <w:pPr>
              <w:tabs>
                <w:tab w:val="left" w:pos="7290"/>
              </w:tabs>
              <w:spacing w:after="0" w:line="240" w:lineRule="auto"/>
              <w:ind w:left="720"/>
              <w:jc w:val="both"/>
              <w:rPr>
                <w:rFonts w:ascii="Arial" w:hAnsi="Arial" w:cs="Arial"/>
                <w:sz w:val="18"/>
                <w:szCs w:val="18"/>
              </w:rPr>
            </w:pPr>
            <w:r w:rsidRPr="00174132">
              <w:rPr>
                <w:rFonts w:ascii="Arial" w:hAnsi="Arial" w:cs="Arial"/>
                <w:sz w:val="18"/>
                <w:szCs w:val="18"/>
              </w:rPr>
              <w:t>Term Loans</w:t>
            </w:r>
          </w:p>
        </w:tc>
        <w:tc>
          <w:tcPr>
            <w:tcW w:w="1530" w:type="dxa"/>
          </w:tcPr>
          <w:p w:rsidR="00FE4B5C" w:rsidRPr="00174132" w:rsidRDefault="00FE4B5C" w:rsidP="00174132">
            <w:pPr>
              <w:tabs>
                <w:tab w:val="left" w:pos="7290"/>
              </w:tabs>
              <w:spacing w:after="0" w:line="240" w:lineRule="auto"/>
              <w:jc w:val="right"/>
              <w:rPr>
                <w:rFonts w:ascii="Arial" w:hAnsi="Arial" w:cs="Arial"/>
                <w:sz w:val="18"/>
                <w:szCs w:val="18"/>
              </w:rPr>
            </w:pPr>
            <w:r w:rsidRPr="00174132">
              <w:rPr>
                <w:rFonts w:ascii="Arial" w:hAnsi="Arial" w:cs="Arial"/>
                <w:sz w:val="18"/>
                <w:szCs w:val="18"/>
              </w:rPr>
              <w:t>302</w:t>
            </w:r>
          </w:p>
        </w:tc>
      </w:tr>
      <w:tr w:rsidR="00FE4B5C" w:rsidRPr="00174132">
        <w:tc>
          <w:tcPr>
            <w:tcW w:w="7016" w:type="dxa"/>
          </w:tcPr>
          <w:p w:rsidR="00FE4B5C" w:rsidRPr="00174132" w:rsidRDefault="00FE4B5C" w:rsidP="00174132">
            <w:pPr>
              <w:tabs>
                <w:tab w:val="left" w:pos="7290"/>
              </w:tabs>
              <w:spacing w:after="0" w:line="240" w:lineRule="auto"/>
              <w:jc w:val="both"/>
              <w:rPr>
                <w:rFonts w:ascii="Arial" w:hAnsi="Arial" w:cs="Arial"/>
                <w:sz w:val="12"/>
                <w:szCs w:val="12"/>
              </w:rPr>
            </w:pPr>
          </w:p>
        </w:tc>
        <w:tc>
          <w:tcPr>
            <w:tcW w:w="1530" w:type="dxa"/>
          </w:tcPr>
          <w:p w:rsidR="00FE4B5C" w:rsidRPr="00174132" w:rsidRDefault="00FE4B5C" w:rsidP="00174132">
            <w:pPr>
              <w:tabs>
                <w:tab w:val="left" w:pos="7290"/>
              </w:tabs>
              <w:spacing w:after="0" w:line="240" w:lineRule="auto"/>
              <w:jc w:val="right"/>
              <w:rPr>
                <w:rFonts w:ascii="Arial" w:hAnsi="Arial" w:cs="Arial"/>
                <w:b/>
                <w:bCs/>
                <w:sz w:val="12"/>
                <w:szCs w:val="12"/>
              </w:rPr>
            </w:pPr>
          </w:p>
        </w:tc>
      </w:tr>
      <w:tr w:rsidR="00FE4B5C" w:rsidRPr="00174132">
        <w:tc>
          <w:tcPr>
            <w:tcW w:w="7016" w:type="dxa"/>
          </w:tcPr>
          <w:p w:rsidR="00FE4B5C" w:rsidRPr="00174132" w:rsidRDefault="00FE4B5C" w:rsidP="00174132">
            <w:pPr>
              <w:tabs>
                <w:tab w:val="left" w:pos="7290"/>
              </w:tabs>
              <w:spacing w:after="0" w:line="240" w:lineRule="auto"/>
              <w:ind w:left="720"/>
              <w:jc w:val="both"/>
              <w:rPr>
                <w:rFonts w:ascii="Arial" w:hAnsi="Arial" w:cs="Arial"/>
                <w:b/>
                <w:bCs/>
                <w:sz w:val="18"/>
                <w:szCs w:val="18"/>
              </w:rPr>
            </w:pPr>
            <w:r w:rsidRPr="00174132">
              <w:rPr>
                <w:rFonts w:ascii="Arial" w:hAnsi="Arial" w:cs="Arial"/>
                <w:b/>
                <w:bCs/>
                <w:sz w:val="18"/>
                <w:szCs w:val="18"/>
              </w:rPr>
              <w:t>Long term borrowings:</w:t>
            </w:r>
          </w:p>
        </w:tc>
        <w:tc>
          <w:tcPr>
            <w:tcW w:w="1530" w:type="dxa"/>
          </w:tcPr>
          <w:p w:rsidR="00FE4B5C" w:rsidRPr="00174132" w:rsidRDefault="00FE4B5C" w:rsidP="00174132">
            <w:pPr>
              <w:tabs>
                <w:tab w:val="left" w:pos="7290"/>
              </w:tabs>
              <w:spacing w:after="0" w:line="240" w:lineRule="auto"/>
              <w:jc w:val="right"/>
              <w:rPr>
                <w:rFonts w:ascii="Arial" w:hAnsi="Arial" w:cs="Arial"/>
                <w:b/>
                <w:bCs/>
                <w:sz w:val="18"/>
                <w:szCs w:val="18"/>
              </w:rPr>
            </w:pPr>
          </w:p>
        </w:tc>
      </w:tr>
      <w:tr w:rsidR="00FE4B5C" w:rsidRPr="00174132">
        <w:tc>
          <w:tcPr>
            <w:tcW w:w="7016" w:type="dxa"/>
          </w:tcPr>
          <w:p w:rsidR="00FE4B5C" w:rsidRPr="00174132" w:rsidRDefault="00FE4B5C" w:rsidP="00174132">
            <w:pPr>
              <w:spacing w:after="0" w:line="240" w:lineRule="auto"/>
              <w:ind w:left="720"/>
              <w:jc w:val="both"/>
              <w:rPr>
                <w:rFonts w:ascii="Arial" w:hAnsi="Arial" w:cs="Arial"/>
                <w:sz w:val="18"/>
                <w:szCs w:val="18"/>
              </w:rPr>
            </w:pPr>
            <w:r w:rsidRPr="00174132">
              <w:rPr>
                <w:rFonts w:ascii="Arial" w:hAnsi="Arial" w:cs="Arial"/>
                <w:sz w:val="18"/>
                <w:szCs w:val="18"/>
              </w:rPr>
              <w:t>Secured:</w:t>
            </w:r>
          </w:p>
        </w:tc>
        <w:tc>
          <w:tcPr>
            <w:tcW w:w="1530" w:type="dxa"/>
          </w:tcPr>
          <w:p w:rsidR="00FE4B5C" w:rsidRPr="00174132" w:rsidRDefault="00FE4B5C" w:rsidP="00174132">
            <w:pPr>
              <w:tabs>
                <w:tab w:val="left" w:pos="7290"/>
              </w:tabs>
              <w:spacing w:after="0" w:line="240" w:lineRule="auto"/>
              <w:jc w:val="right"/>
              <w:rPr>
                <w:rFonts w:ascii="Arial" w:hAnsi="Arial" w:cs="Arial"/>
                <w:b/>
                <w:bCs/>
                <w:sz w:val="18"/>
                <w:szCs w:val="18"/>
              </w:rPr>
            </w:pPr>
          </w:p>
        </w:tc>
      </w:tr>
      <w:tr w:rsidR="00FE4B5C" w:rsidRPr="00174132">
        <w:tc>
          <w:tcPr>
            <w:tcW w:w="7016" w:type="dxa"/>
          </w:tcPr>
          <w:p w:rsidR="00FE4B5C" w:rsidRPr="00174132" w:rsidRDefault="00FE4B5C" w:rsidP="00174132">
            <w:pPr>
              <w:spacing w:after="0" w:line="240" w:lineRule="auto"/>
              <w:ind w:left="720"/>
              <w:jc w:val="both"/>
              <w:rPr>
                <w:rFonts w:ascii="Arial" w:hAnsi="Arial" w:cs="Arial"/>
                <w:sz w:val="18"/>
                <w:szCs w:val="18"/>
              </w:rPr>
            </w:pPr>
            <w:r w:rsidRPr="00174132">
              <w:rPr>
                <w:rFonts w:ascii="Arial" w:hAnsi="Arial" w:cs="Arial"/>
                <w:sz w:val="18"/>
                <w:szCs w:val="18"/>
              </w:rPr>
              <w:t>Hire purchases</w:t>
            </w:r>
          </w:p>
        </w:tc>
        <w:tc>
          <w:tcPr>
            <w:tcW w:w="1530" w:type="dxa"/>
          </w:tcPr>
          <w:p w:rsidR="00FE4B5C" w:rsidRPr="00174132" w:rsidRDefault="00FE4B5C" w:rsidP="00174132">
            <w:pPr>
              <w:tabs>
                <w:tab w:val="left" w:pos="7290"/>
              </w:tabs>
              <w:spacing w:after="0" w:line="240" w:lineRule="auto"/>
              <w:jc w:val="right"/>
              <w:rPr>
                <w:rFonts w:ascii="Arial" w:hAnsi="Arial" w:cs="Arial"/>
                <w:sz w:val="18"/>
                <w:szCs w:val="18"/>
              </w:rPr>
            </w:pPr>
            <w:r w:rsidRPr="00174132">
              <w:rPr>
                <w:rFonts w:ascii="Arial" w:hAnsi="Arial" w:cs="Arial"/>
                <w:sz w:val="18"/>
                <w:szCs w:val="18"/>
              </w:rPr>
              <w:t>595</w:t>
            </w:r>
          </w:p>
        </w:tc>
      </w:tr>
      <w:tr w:rsidR="00FE4B5C" w:rsidRPr="00174132">
        <w:tc>
          <w:tcPr>
            <w:tcW w:w="7016" w:type="dxa"/>
          </w:tcPr>
          <w:p w:rsidR="00FE4B5C" w:rsidRPr="00174132" w:rsidRDefault="00FE4B5C" w:rsidP="00174132">
            <w:pPr>
              <w:spacing w:after="0" w:line="240" w:lineRule="auto"/>
              <w:ind w:left="720"/>
              <w:jc w:val="both"/>
              <w:rPr>
                <w:rFonts w:ascii="Arial" w:hAnsi="Arial" w:cs="Arial"/>
                <w:sz w:val="18"/>
                <w:szCs w:val="18"/>
              </w:rPr>
            </w:pPr>
            <w:r w:rsidRPr="00174132">
              <w:rPr>
                <w:rFonts w:ascii="Arial" w:hAnsi="Arial" w:cs="Arial"/>
                <w:sz w:val="18"/>
                <w:szCs w:val="18"/>
              </w:rPr>
              <w:t>Term Loans</w:t>
            </w:r>
          </w:p>
        </w:tc>
        <w:tc>
          <w:tcPr>
            <w:tcW w:w="1530" w:type="dxa"/>
            <w:tcBorders>
              <w:bottom w:val="single" w:sz="4" w:space="0" w:color="auto"/>
            </w:tcBorders>
          </w:tcPr>
          <w:p w:rsidR="00FE4B5C" w:rsidRPr="00174132" w:rsidRDefault="00FE4B5C" w:rsidP="00174132">
            <w:pPr>
              <w:tabs>
                <w:tab w:val="left" w:pos="7290"/>
              </w:tabs>
              <w:spacing w:after="0" w:line="240" w:lineRule="auto"/>
              <w:jc w:val="right"/>
              <w:rPr>
                <w:rFonts w:ascii="Arial" w:hAnsi="Arial" w:cs="Arial"/>
                <w:sz w:val="18"/>
                <w:szCs w:val="18"/>
              </w:rPr>
            </w:pPr>
            <w:r w:rsidRPr="00174132">
              <w:rPr>
                <w:rFonts w:ascii="Arial" w:hAnsi="Arial" w:cs="Arial"/>
                <w:sz w:val="18"/>
                <w:szCs w:val="18"/>
              </w:rPr>
              <w:t xml:space="preserve">    3,157</w:t>
            </w:r>
          </w:p>
        </w:tc>
      </w:tr>
      <w:tr w:rsidR="00FE4B5C" w:rsidRPr="00174132">
        <w:tc>
          <w:tcPr>
            <w:tcW w:w="7016" w:type="dxa"/>
          </w:tcPr>
          <w:p w:rsidR="00FE4B5C" w:rsidRPr="00174132" w:rsidRDefault="00FE4B5C" w:rsidP="00174132">
            <w:pPr>
              <w:spacing w:after="0" w:line="240" w:lineRule="auto"/>
              <w:ind w:left="720"/>
              <w:jc w:val="both"/>
              <w:rPr>
                <w:rFonts w:ascii="Arial" w:hAnsi="Arial" w:cs="Arial"/>
                <w:b/>
                <w:bCs/>
                <w:sz w:val="18"/>
                <w:szCs w:val="18"/>
              </w:rPr>
            </w:pPr>
            <w:r w:rsidRPr="00174132">
              <w:rPr>
                <w:rFonts w:ascii="Arial" w:hAnsi="Arial" w:cs="Arial"/>
                <w:b/>
                <w:bCs/>
                <w:sz w:val="18"/>
                <w:szCs w:val="18"/>
              </w:rPr>
              <w:t>Total Borrowings</w:t>
            </w:r>
          </w:p>
        </w:tc>
        <w:tc>
          <w:tcPr>
            <w:tcW w:w="1530" w:type="dxa"/>
            <w:tcBorders>
              <w:top w:val="single" w:sz="4" w:space="0" w:color="auto"/>
              <w:bottom w:val="double" w:sz="4" w:space="0" w:color="auto"/>
            </w:tcBorders>
          </w:tcPr>
          <w:p w:rsidR="00FE4B5C" w:rsidRPr="00174132" w:rsidRDefault="00FE4B5C" w:rsidP="00174132">
            <w:pPr>
              <w:tabs>
                <w:tab w:val="left" w:pos="7290"/>
              </w:tabs>
              <w:spacing w:after="0" w:line="240" w:lineRule="auto"/>
              <w:jc w:val="right"/>
              <w:rPr>
                <w:rFonts w:ascii="Arial" w:hAnsi="Arial" w:cs="Arial"/>
                <w:b/>
                <w:bCs/>
                <w:sz w:val="18"/>
                <w:szCs w:val="18"/>
              </w:rPr>
            </w:pPr>
            <w:r w:rsidRPr="00174132">
              <w:rPr>
                <w:rFonts w:ascii="Arial" w:hAnsi="Arial" w:cs="Arial"/>
                <w:b/>
                <w:bCs/>
                <w:sz w:val="18"/>
                <w:szCs w:val="18"/>
              </w:rPr>
              <w:t>29,700</w:t>
            </w:r>
          </w:p>
        </w:tc>
      </w:tr>
    </w:tbl>
    <w:p w:rsidR="00FE4B5C" w:rsidRDefault="00FE4B5C" w:rsidP="00011292">
      <w:pPr>
        <w:tabs>
          <w:tab w:val="left" w:pos="7290"/>
        </w:tabs>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r w:rsidRPr="00E5297F">
        <w:rPr>
          <w:rFonts w:ascii="Arial" w:hAnsi="Arial" w:cs="Arial"/>
          <w:b/>
          <w:bCs/>
          <w:sz w:val="18"/>
          <w:szCs w:val="18"/>
        </w:rPr>
        <w:t xml:space="preserve">B10. </w:t>
      </w:r>
      <w:r>
        <w:rPr>
          <w:rFonts w:ascii="Arial" w:hAnsi="Arial" w:cs="Arial"/>
          <w:b/>
          <w:bCs/>
          <w:sz w:val="18"/>
          <w:szCs w:val="18"/>
        </w:rPr>
        <w:tab/>
      </w:r>
      <w:r w:rsidRPr="00E5297F">
        <w:rPr>
          <w:rFonts w:ascii="Arial" w:hAnsi="Arial" w:cs="Arial"/>
          <w:b/>
          <w:bCs/>
          <w:sz w:val="18"/>
          <w:szCs w:val="18"/>
        </w:rPr>
        <w:t>Off balance sheets financial instruments</w:t>
      </w:r>
    </w:p>
    <w:p w:rsidR="00FE4B5C" w:rsidRPr="00E5297F" w:rsidRDefault="00FE4B5C" w:rsidP="00011292">
      <w:pPr>
        <w:spacing w:after="0" w:line="240" w:lineRule="auto"/>
        <w:jc w:val="both"/>
        <w:rPr>
          <w:rFonts w:ascii="Arial" w:hAnsi="Arial" w:cs="Arial"/>
          <w:b/>
          <w:bCs/>
          <w:sz w:val="18"/>
          <w:szCs w:val="18"/>
        </w:rPr>
      </w:pPr>
    </w:p>
    <w:p w:rsidR="00FE4B5C" w:rsidRDefault="00FE4B5C" w:rsidP="00F70CF1">
      <w:pPr>
        <w:spacing w:after="0" w:line="240" w:lineRule="auto"/>
        <w:ind w:left="720"/>
        <w:jc w:val="both"/>
        <w:rPr>
          <w:rFonts w:ascii="Arial" w:hAnsi="Arial" w:cs="Arial"/>
          <w:sz w:val="18"/>
          <w:szCs w:val="18"/>
        </w:rPr>
      </w:pPr>
      <w:r w:rsidRPr="00F70CF1">
        <w:rPr>
          <w:rFonts w:ascii="Arial" w:hAnsi="Arial" w:cs="Arial"/>
          <w:sz w:val="18"/>
          <w:szCs w:val="18"/>
        </w:rPr>
        <w:t>There were no off balance sheet financial instruments entered (or held) by the Group as at the date of this report.</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r w:rsidRPr="000427BB">
        <w:rPr>
          <w:rFonts w:ascii="Arial" w:hAnsi="Arial" w:cs="Arial"/>
          <w:b/>
          <w:bCs/>
          <w:sz w:val="18"/>
          <w:szCs w:val="18"/>
        </w:rPr>
        <w:t xml:space="preserve">B11. </w:t>
      </w:r>
      <w:r>
        <w:rPr>
          <w:rFonts w:ascii="Arial" w:hAnsi="Arial" w:cs="Arial"/>
          <w:b/>
          <w:bCs/>
          <w:sz w:val="18"/>
          <w:szCs w:val="18"/>
        </w:rPr>
        <w:tab/>
      </w:r>
      <w:r w:rsidRPr="000427BB">
        <w:rPr>
          <w:rFonts w:ascii="Arial" w:hAnsi="Arial" w:cs="Arial"/>
          <w:b/>
          <w:bCs/>
          <w:sz w:val="18"/>
          <w:szCs w:val="18"/>
        </w:rPr>
        <w:t>Material litigation</w:t>
      </w:r>
    </w:p>
    <w:p w:rsidR="00FE4B5C" w:rsidRPr="000427BB"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ind w:firstLine="720"/>
        <w:jc w:val="both"/>
        <w:rPr>
          <w:rFonts w:ascii="Arial" w:hAnsi="Arial" w:cs="Arial"/>
          <w:sz w:val="18"/>
          <w:szCs w:val="18"/>
        </w:rPr>
      </w:pPr>
      <w:r w:rsidRPr="00F70CF1">
        <w:rPr>
          <w:rFonts w:ascii="Arial" w:hAnsi="Arial" w:cs="Arial"/>
          <w:sz w:val="18"/>
          <w:szCs w:val="18"/>
        </w:rPr>
        <w:t xml:space="preserve">There were no material litigation as at the date of this report. </w:t>
      </w: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sz w:val="18"/>
          <w:szCs w:val="18"/>
        </w:rPr>
      </w:pPr>
    </w:p>
    <w:p w:rsidR="00FE4B5C" w:rsidRDefault="00FE4B5C" w:rsidP="00011292">
      <w:pPr>
        <w:spacing w:after="0" w:line="240" w:lineRule="auto"/>
        <w:jc w:val="both"/>
        <w:rPr>
          <w:rFonts w:ascii="Arial" w:hAnsi="Arial" w:cs="Arial"/>
          <w:b/>
          <w:bCs/>
          <w:sz w:val="18"/>
          <w:szCs w:val="18"/>
        </w:rPr>
      </w:pPr>
      <w:r w:rsidRPr="002B0EAA">
        <w:rPr>
          <w:rFonts w:ascii="Arial" w:hAnsi="Arial" w:cs="Arial"/>
          <w:b/>
          <w:bCs/>
          <w:sz w:val="18"/>
          <w:szCs w:val="18"/>
        </w:rPr>
        <w:t xml:space="preserve">B12. </w:t>
      </w:r>
      <w:r>
        <w:rPr>
          <w:rFonts w:ascii="Arial" w:hAnsi="Arial" w:cs="Arial"/>
          <w:b/>
          <w:bCs/>
          <w:sz w:val="18"/>
          <w:szCs w:val="18"/>
        </w:rPr>
        <w:tab/>
      </w:r>
      <w:r w:rsidRPr="002B0EAA">
        <w:rPr>
          <w:rFonts w:ascii="Arial" w:hAnsi="Arial" w:cs="Arial"/>
          <w:b/>
          <w:bCs/>
          <w:sz w:val="18"/>
          <w:szCs w:val="18"/>
        </w:rPr>
        <w:t>Dividends</w:t>
      </w:r>
    </w:p>
    <w:p w:rsidR="00FE4B5C" w:rsidRPr="002B0EAA" w:rsidRDefault="00FE4B5C" w:rsidP="00011292">
      <w:pPr>
        <w:spacing w:after="0" w:line="240" w:lineRule="auto"/>
        <w:jc w:val="both"/>
        <w:rPr>
          <w:rFonts w:ascii="Arial" w:hAnsi="Arial" w:cs="Arial"/>
          <w:b/>
          <w:bCs/>
          <w:sz w:val="18"/>
          <w:szCs w:val="18"/>
        </w:rPr>
      </w:pPr>
    </w:p>
    <w:p w:rsidR="00FE4B5C" w:rsidRDefault="00FE4B5C" w:rsidP="00824047">
      <w:pPr>
        <w:spacing w:after="0" w:line="240" w:lineRule="auto"/>
        <w:ind w:left="720"/>
        <w:jc w:val="both"/>
        <w:rPr>
          <w:rFonts w:ascii="Arial" w:hAnsi="Arial" w:cs="Arial"/>
          <w:sz w:val="18"/>
          <w:szCs w:val="18"/>
        </w:rPr>
      </w:pPr>
      <w:r w:rsidRPr="00824047">
        <w:rPr>
          <w:rFonts w:ascii="Arial" w:hAnsi="Arial" w:cs="Arial"/>
          <w:sz w:val="18"/>
          <w:szCs w:val="18"/>
        </w:rPr>
        <w:t>The directo</w:t>
      </w:r>
      <w:r>
        <w:rPr>
          <w:rFonts w:ascii="Arial" w:hAnsi="Arial" w:cs="Arial"/>
          <w:sz w:val="18"/>
          <w:szCs w:val="18"/>
        </w:rPr>
        <w:t>r</w:t>
      </w:r>
      <w:r w:rsidRPr="00824047">
        <w:rPr>
          <w:rFonts w:ascii="Arial" w:hAnsi="Arial" w:cs="Arial"/>
          <w:sz w:val="18"/>
          <w:szCs w:val="18"/>
        </w:rPr>
        <w:t>s proposed a first and final</w:t>
      </w:r>
      <w:r>
        <w:rPr>
          <w:rFonts w:ascii="Arial" w:hAnsi="Arial" w:cs="Arial"/>
          <w:sz w:val="18"/>
          <w:szCs w:val="18"/>
        </w:rPr>
        <w:t xml:space="preserve"> single tier</w:t>
      </w:r>
      <w:r w:rsidRPr="00824047">
        <w:rPr>
          <w:rFonts w:ascii="Arial" w:hAnsi="Arial" w:cs="Arial"/>
          <w:sz w:val="18"/>
          <w:szCs w:val="18"/>
        </w:rPr>
        <w:t xml:space="preserve"> dividend of </w:t>
      </w:r>
      <w:r>
        <w:rPr>
          <w:rFonts w:ascii="Arial" w:hAnsi="Arial" w:cs="Arial"/>
          <w:sz w:val="18"/>
          <w:szCs w:val="18"/>
        </w:rPr>
        <w:t>6</w:t>
      </w:r>
      <w:r w:rsidRPr="00824047">
        <w:rPr>
          <w:rFonts w:ascii="Arial" w:hAnsi="Arial" w:cs="Arial"/>
          <w:sz w:val="18"/>
          <w:szCs w:val="18"/>
        </w:rPr>
        <w:t>% amounting to RM</w:t>
      </w:r>
      <w:r>
        <w:rPr>
          <w:rFonts w:ascii="Arial" w:hAnsi="Arial" w:cs="Arial"/>
          <w:sz w:val="18"/>
          <w:szCs w:val="18"/>
        </w:rPr>
        <w:t>2</w:t>
      </w:r>
      <w:r w:rsidRPr="00824047">
        <w:rPr>
          <w:rFonts w:ascii="Arial" w:hAnsi="Arial" w:cs="Arial"/>
          <w:sz w:val="18"/>
          <w:szCs w:val="18"/>
        </w:rPr>
        <w:t>,</w:t>
      </w:r>
      <w:r>
        <w:rPr>
          <w:rFonts w:ascii="Arial" w:hAnsi="Arial" w:cs="Arial"/>
          <w:sz w:val="18"/>
          <w:szCs w:val="18"/>
        </w:rPr>
        <w:t>880,00</w:t>
      </w:r>
      <w:r w:rsidRPr="00824047">
        <w:rPr>
          <w:rFonts w:ascii="Arial" w:hAnsi="Arial" w:cs="Arial"/>
          <w:sz w:val="18"/>
          <w:szCs w:val="18"/>
        </w:rPr>
        <w:t>0 in respect of</w:t>
      </w:r>
      <w:r>
        <w:rPr>
          <w:rFonts w:ascii="Arial" w:hAnsi="Arial" w:cs="Arial"/>
          <w:sz w:val="18"/>
          <w:szCs w:val="18"/>
        </w:rPr>
        <w:t xml:space="preserve"> </w:t>
      </w:r>
      <w:r w:rsidRPr="00824047">
        <w:rPr>
          <w:rFonts w:ascii="Arial" w:hAnsi="Arial" w:cs="Arial"/>
          <w:sz w:val="18"/>
          <w:szCs w:val="18"/>
        </w:rPr>
        <w:t>the financial</w:t>
      </w:r>
      <w:r>
        <w:rPr>
          <w:rFonts w:ascii="Arial" w:hAnsi="Arial" w:cs="Arial"/>
          <w:sz w:val="18"/>
          <w:szCs w:val="18"/>
        </w:rPr>
        <w:t xml:space="preserve"> </w:t>
      </w:r>
      <w:r w:rsidRPr="00824047">
        <w:rPr>
          <w:rFonts w:ascii="Arial" w:hAnsi="Arial" w:cs="Arial"/>
          <w:sz w:val="18"/>
          <w:szCs w:val="18"/>
        </w:rPr>
        <w:t xml:space="preserve">year ended 31 </w:t>
      </w:r>
      <w:r>
        <w:rPr>
          <w:rFonts w:ascii="Arial" w:hAnsi="Arial" w:cs="Arial"/>
          <w:sz w:val="18"/>
          <w:szCs w:val="18"/>
        </w:rPr>
        <w:t>Decem</w:t>
      </w:r>
      <w:r w:rsidRPr="00824047">
        <w:rPr>
          <w:rFonts w:ascii="Arial" w:hAnsi="Arial" w:cs="Arial"/>
          <w:sz w:val="18"/>
          <w:szCs w:val="18"/>
        </w:rPr>
        <w:t>ber 2010, payable upon shareholders' approval at the forthcoming Annual General Meeting.</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r w:rsidRPr="003D0C0C">
        <w:rPr>
          <w:rFonts w:ascii="Arial" w:hAnsi="Arial" w:cs="Arial"/>
          <w:b/>
          <w:bCs/>
          <w:sz w:val="18"/>
          <w:szCs w:val="18"/>
        </w:rPr>
        <w:t>B1</w:t>
      </w:r>
      <w:r>
        <w:rPr>
          <w:rFonts w:ascii="Arial" w:hAnsi="Arial" w:cs="Arial"/>
          <w:b/>
          <w:bCs/>
          <w:sz w:val="18"/>
          <w:szCs w:val="18"/>
        </w:rPr>
        <w:t>3</w:t>
      </w:r>
      <w:r w:rsidRPr="003D0C0C">
        <w:rPr>
          <w:rFonts w:ascii="Arial" w:hAnsi="Arial" w:cs="Arial"/>
          <w:b/>
          <w:bCs/>
          <w:sz w:val="18"/>
          <w:szCs w:val="18"/>
        </w:rPr>
        <w:t xml:space="preserve">. </w:t>
      </w:r>
      <w:r>
        <w:rPr>
          <w:rFonts w:ascii="Arial" w:hAnsi="Arial" w:cs="Arial"/>
          <w:b/>
          <w:bCs/>
          <w:sz w:val="18"/>
          <w:szCs w:val="18"/>
        </w:rPr>
        <w:tab/>
      </w:r>
      <w:r w:rsidRPr="003D0C0C">
        <w:rPr>
          <w:rFonts w:ascii="Arial" w:hAnsi="Arial" w:cs="Arial"/>
          <w:b/>
          <w:bCs/>
          <w:sz w:val="18"/>
          <w:szCs w:val="18"/>
        </w:rPr>
        <w:t>Earnings Per share</w:t>
      </w:r>
    </w:p>
    <w:p w:rsidR="00FE4B5C" w:rsidRDefault="00FE4B5C" w:rsidP="00011292">
      <w:pPr>
        <w:spacing w:after="0" w:line="240" w:lineRule="auto"/>
        <w:jc w:val="both"/>
        <w:rPr>
          <w:rFonts w:ascii="Arial" w:hAnsi="Arial" w:cs="Arial"/>
          <w:b/>
          <w:bCs/>
          <w:sz w:val="18"/>
          <w:szCs w:val="18"/>
        </w:rPr>
      </w:pPr>
    </w:p>
    <w:p w:rsidR="00FE4B5C" w:rsidRDefault="00FE4B5C" w:rsidP="00011292">
      <w:pPr>
        <w:pStyle w:val="ListParagraph"/>
        <w:numPr>
          <w:ilvl w:val="0"/>
          <w:numId w:val="5"/>
        </w:numPr>
        <w:spacing w:after="0" w:line="240" w:lineRule="auto"/>
        <w:jc w:val="both"/>
        <w:rPr>
          <w:rFonts w:ascii="Arial" w:hAnsi="Arial" w:cs="Arial"/>
          <w:b/>
          <w:bCs/>
          <w:sz w:val="18"/>
          <w:szCs w:val="18"/>
        </w:rPr>
      </w:pPr>
      <w:r w:rsidRPr="00235AB9">
        <w:rPr>
          <w:rFonts w:ascii="Arial" w:hAnsi="Arial" w:cs="Arial"/>
          <w:b/>
          <w:bCs/>
          <w:sz w:val="18"/>
          <w:szCs w:val="18"/>
        </w:rPr>
        <w:t>Basic earnings per share</w:t>
      </w:r>
    </w:p>
    <w:p w:rsidR="00FE4B5C" w:rsidRPr="00E34A70"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ind w:left="720"/>
        <w:jc w:val="both"/>
        <w:rPr>
          <w:rFonts w:ascii="Arial" w:hAnsi="Arial" w:cs="Arial"/>
          <w:sz w:val="18"/>
          <w:szCs w:val="18"/>
        </w:rPr>
      </w:pPr>
      <w:r>
        <w:rPr>
          <w:rFonts w:ascii="Arial" w:hAnsi="Arial" w:cs="Arial"/>
          <w:sz w:val="18"/>
          <w:szCs w:val="18"/>
        </w:rPr>
        <w:t xml:space="preserve">Basic earnings per share are computed based on the profit after tax attributable to the equity holders of Company divided by the enlarged share </w:t>
      </w:r>
      <w:r w:rsidRPr="007322AF">
        <w:rPr>
          <w:rFonts w:ascii="Arial" w:hAnsi="Arial" w:cs="Arial"/>
          <w:sz w:val="18"/>
          <w:szCs w:val="18"/>
        </w:rPr>
        <w:t xml:space="preserve">capital of </w:t>
      </w:r>
      <w:r w:rsidRPr="00AC1597">
        <w:rPr>
          <w:rFonts w:ascii="Arial" w:hAnsi="Arial" w:cs="Arial"/>
          <w:sz w:val="18"/>
          <w:szCs w:val="18"/>
        </w:rPr>
        <w:t>75,21</w:t>
      </w:r>
      <w:r>
        <w:rPr>
          <w:rFonts w:ascii="Arial" w:hAnsi="Arial" w:cs="Arial"/>
          <w:sz w:val="18"/>
          <w:szCs w:val="18"/>
        </w:rPr>
        <w:t>9</w:t>
      </w:r>
      <w:r w:rsidRPr="00AC1597">
        <w:rPr>
          <w:rFonts w:ascii="Arial" w:hAnsi="Arial" w:cs="Arial"/>
          <w:sz w:val="18"/>
          <w:szCs w:val="18"/>
        </w:rPr>
        <w:t>,000</w:t>
      </w:r>
      <w:r w:rsidRPr="00BA4757">
        <w:rPr>
          <w:rFonts w:ascii="Arial" w:hAnsi="Arial" w:cs="Arial"/>
          <w:sz w:val="18"/>
          <w:szCs w:val="18"/>
        </w:rPr>
        <w:t xml:space="preserve"> share</w:t>
      </w:r>
      <w:r w:rsidRPr="007322AF">
        <w:rPr>
          <w:rFonts w:ascii="Arial" w:hAnsi="Arial" w:cs="Arial"/>
          <w:sz w:val="18"/>
          <w:szCs w:val="18"/>
        </w:rPr>
        <w:t>s</w:t>
      </w:r>
      <w:r>
        <w:rPr>
          <w:rFonts w:ascii="Arial" w:hAnsi="Arial" w:cs="Arial"/>
          <w:sz w:val="18"/>
          <w:szCs w:val="18"/>
        </w:rPr>
        <w:t xml:space="preserve"> but prior to the Public Issue.</w:t>
      </w:r>
    </w:p>
    <w:p w:rsidR="00FE4B5C" w:rsidRDefault="00FE4B5C" w:rsidP="00011292">
      <w:pPr>
        <w:spacing w:after="0" w:line="240" w:lineRule="auto"/>
        <w:jc w:val="both"/>
        <w:rPr>
          <w:rFonts w:ascii="Arial" w:hAnsi="Arial" w:cs="Arial"/>
          <w:sz w:val="18"/>
          <w:szCs w:val="18"/>
        </w:rPr>
      </w:pPr>
    </w:p>
    <w:p w:rsidR="00FE4B5C" w:rsidRPr="00BA4757" w:rsidRDefault="00FE4B5C" w:rsidP="00011292">
      <w:pPr>
        <w:pStyle w:val="ListParagraph"/>
        <w:numPr>
          <w:ilvl w:val="0"/>
          <w:numId w:val="5"/>
        </w:numPr>
        <w:spacing w:after="0" w:line="240" w:lineRule="auto"/>
        <w:jc w:val="both"/>
        <w:rPr>
          <w:rFonts w:ascii="Arial" w:hAnsi="Arial" w:cs="Arial"/>
          <w:b/>
          <w:bCs/>
          <w:sz w:val="18"/>
          <w:szCs w:val="18"/>
        </w:rPr>
      </w:pPr>
      <w:r w:rsidRPr="00BA4757">
        <w:rPr>
          <w:rFonts w:ascii="Arial" w:hAnsi="Arial" w:cs="Arial"/>
          <w:b/>
          <w:bCs/>
          <w:sz w:val="18"/>
          <w:szCs w:val="18"/>
        </w:rPr>
        <w:t>Diluted earnings per share</w:t>
      </w:r>
      <w:r w:rsidRPr="00BA4757">
        <w:rPr>
          <w:rFonts w:ascii="Arial" w:hAnsi="Arial" w:cs="Arial"/>
          <w:b/>
          <w:bCs/>
          <w:sz w:val="18"/>
          <w:szCs w:val="18"/>
        </w:rPr>
        <w:tab/>
      </w:r>
    </w:p>
    <w:p w:rsidR="00FE4B5C" w:rsidRPr="00E34A70"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ind w:left="720"/>
        <w:jc w:val="both"/>
        <w:rPr>
          <w:rFonts w:ascii="Arial" w:hAnsi="Arial" w:cs="Arial"/>
          <w:b/>
          <w:bCs/>
          <w:sz w:val="18"/>
          <w:szCs w:val="18"/>
        </w:rPr>
      </w:pPr>
      <w:r w:rsidRPr="00AA5067">
        <w:rPr>
          <w:rFonts w:ascii="Arial" w:hAnsi="Arial" w:cs="Arial"/>
          <w:sz w:val="18"/>
          <w:szCs w:val="18"/>
        </w:rPr>
        <w:t>Diluted earnings per share were not computed as the Company does not have any dilutivepotential ordinary shares in issue as at the end of the financial quarter under review.</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b/>
          <w:bCs/>
          <w:sz w:val="18"/>
          <w:szCs w:val="18"/>
        </w:rPr>
      </w:pPr>
      <w:r>
        <w:rPr>
          <w:rFonts w:ascii="Arial" w:hAnsi="Arial" w:cs="Arial"/>
          <w:b/>
          <w:bCs/>
          <w:sz w:val="18"/>
          <w:szCs w:val="18"/>
        </w:rPr>
        <w:t xml:space="preserve">B14. </w:t>
      </w:r>
      <w:r>
        <w:rPr>
          <w:rFonts w:ascii="Arial" w:hAnsi="Arial" w:cs="Arial"/>
          <w:b/>
          <w:bCs/>
          <w:sz w:val="18"/>
          <w:szCs w:val="18"/>
        </w:rPr>
        <w:tab/>
        <w:t>Authorisation for issue</w:t>
      </w:r>
    </w:p>
    <w:p w:rsidR="00FE4B5C" w:rsidRDefault="00FE4B5C" w:rsidP="00011292">
      <w:pPr>
        <w:spacing w:after="0" w:line="240" w:lineRule="auto"/>
        <w:jc w:val="both"/>
        <w:rPr>
          <w:rFonts w:ascii="Arial" w:hAnsi="Arial" w:cs="Arial"/>
          <w:b/>
          <w:bCs/>
          <w:sz w:val="18"/>
          <w:szCs w:val="18"/>
        </w:rPr>
      </w:pPr>
    </w:p>
    <w:p w:rsidR="00FE4B5C" w:rsidRPr="00397304" w:rsidRDefault="00FE4B5C" w:rsidP="00011292">
      <w:pPr>
        <w:spacing w:after="0" w:line="240" w:lineRule="auto"/>
        <w:ind w:left="720"/>
        <w:jc w:val="both"/>
        <w:rPr>
          <w:rFonts w:ascii="Arial" w:hAnsi="Arial" w:cs="Arial"/>
          <w:sz w:val="18"/>
          <w:szCs w:val="18"/>
        </w:rPr>
      </w:pPr>
      <w:r>
        <w:rPr>
          <w:rFonts w:ascii="Arial" w:hAnsi="Arial" w:cs="Arial"/>
          <w:sz w:val="18"/>
          <w:szCs w:val="18"/>
        </w:rPr>
        <w:t xml:space="preserve">The interim financial report was duly reviewed by Audit committees and approved by the Board of Directors </w:t>
      </w:r>
      <w:r w:rsidRPr="007322AF">
        <w:rPr>
          <w:rFonts w:ascii="Arial" w:hAnsi="Arial" w:cs="Arial"/>
          <w:sz w:val="18"/>
          <w:szCs w:val="18"/>
        </w:rPr>
        <w:t xml:space="preserve">on </w:t>
      </w:r>
      <w:r>
        <w:rPr>
          <w:rFonts w:ascii="Arial" w:hAnsi="Arial" w:cs="Arial"/>
          <w:sz w:val="18"/>
          <w:szCs w:val="18"/>
        </w:rPr>
        <w:t>2</w:t>
      </w:r>
      <w:r w:rsidRPr="00BA4757">
        <w:rPr>
          <w:rFonts w:ascii="Arial" w:hAnsi="Arial" w:cs="Arial"/>
          <w:sz w:val="18"/>
          <w:szCs w:val="18"/>
        </w:rPr>
        <w:t xml:space="preserve">3 </w:t>
      </w:r>
      <w:r>
        <w:rPr>
          <w:rFonts w:ascii="Arial" w:hAnsi="Arial" w:cs="Arial"/>
          <w:sz w:val="18"/>
          <w:szCs w:val="18"/>
        </w:rPr>
        <w:t>February</w:t>
      </w:r>
      <w:r w:rsidRPr="00BA4757">
        <w:rPr>
          <w:rFonts w:ascii="Arial" w:hAnsi="Arial" w:cs="Arial"/>
          <w:sz w:val="18"/>
          <w:szCs w:val="18"/>
        </w:rPr>
        <w:t xml:space="preserve"> 2011</w:t>
      </w:r>
      <w:r w:rsidRPr="007322AF">
        <w:rPr>
          <w:rFonts w:ascii="Arial" w:hAnsi="Arial" w:cs="Arial"/>
          <w:sz w:val="18"/>
          <w:szCs w:val="18"/>
        </w:rPr>
        <w:t>.</w:t>
      </w:r>
    </w:p>
    <w:p w:rsidR="00FE4B5C" w:rsidRDefault="00FE4B5C" w:rsidP="00011292">
      <w:pPr>
        <w:spacing w:after="0" w:line="240" w:lineRule="auto"/>
        <w:jc w:val="both"/>
        <w:rPr>
          <w:rFonts w:ascii="Arial" w:hAnsi="Arial" w:cs="Arial"/>
          <w:b/>
          <w:bCs/>
          <w:sz w:val="18"/>
          <w:szCs w:val="18"/>
        </w:rPr>
      </w:pPr>
    </w:p>
    <w:p w:rsidR="00FE4B5C" w:rsidRDefault="00FE4B5C" w:rsidP="00011292">
      <w:pPr>
        <w:spacing w:after="0" w:line="240" w:lineRule="auto"/>
        <w:jc w:val="both"/>
        <w:rPr>
          <w:rFonts w:ascii="Arial" w:hAnsi="Arial" w:cs="Arial"/>
          <w:sz w:val="18"/>
          <w:szCs w:val="18"/>
        </w:rPr>
      </w:pPr>
    </w:p>
    <w:p w:rsidR="00FE4B5C" w:rsidRPr="00724865" w:rsidRDefault="00FE4B5C" w:rsidP="00011292">
      <w:pPr>
        <w:spacing w:after="0" w:line="240" w:lineRule="auto"/>
        <w:jc w:val="both"/>
        <w:rPr>
          <w:rFonts w:ascii="Arial" w:hAnsi="Arial" w:cs="Arial"/>
          <w:sz w:val="18"/>
          <w:szCs w:val="18"/>
        </w:rPr>
      </w:pPr>
    </w:p>
    <w:sectPr w:rsidR="00FE4B5C" w:rsidRPr="00724865" w:rsidSect="00BA4757">
      <w:pgSz w:w="11909" w:h="16834" w:code="9"/>
      <w:pgMar w:top="1440" w:right="1440"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37A"/>
    <w:multiLevelType w:val="hybridMultilevel"/>
    <w:tmpl w:val="225EF292"/>
    <w:lvl w:ilvl="0" w:tplc="F3AA4400">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1">
    <w:nsid w:val="22E72D31"/>
    <w:multiLevelType w:val="hybridMultilevel"/>
    <w:tmpl w:val="E1B0BF40"/>
    <w:lvl w:ilvl="0" w:tplc="F9D05C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9315BB"/>
    <w:multiLevelType w:val="hybridMultilevel"/>
    <w:tmpl w:val="340E6D4C"/>
    <w:lvl w:ilvl="0" w:tplc="7706BC38">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3">
    <w:nsid w:val="5CD0547A"/>
    <w:multiLevelType w:val="hybridMultilevel"/>
    <w:tmpl w:val="ADDE92A8"/>
    <w:lvl w:ilvl="0" w:tplc="B6627B9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671D4A"/>
    <w:multiLevelType w:val="hybridMultilevel"/>
    <w:tmpl w:val="0A9A04D6"/>
    <w:lvl w:ilvl="0" w:tplc="21AE77E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B7C"/>
    <w:rsid w:val="00011292"/>
    <w:rsid w:val="0001213A"/>
    <w:rsid w:val="00024F30"/>
    <w:rsid w:val="00025081"/>
    <w:rsid w:val="0003436F"/>
    <w:rsid w:val="000427BB"/>
    <w:rsid w:val="0005274B"/>
    <w:rsid w:val="00057FAF"/>
    <w:rsid w:val="00065721"/>
    <w:rsid w:val="0006673C"/>
    <w:rsid w:val="00085F1C"/>
    <w:rsid w:val="000907FF"/>
    <w:rsid w:val="00091E20"/>
    <w:rsid w:val="00092590"/>
    <w:rsid w:val="000930C0"/>
    <w:rsid w:val="000953F8"/>
    <w:rsid w:val="000A1DE2"/>
    <w:rsid w:val="000A7D3B"/>
    <w:rsid w:val="000B1D95"/>
    <w:rsid w:val="000B5EC4"/>
    <w:rsid w:val="000C7057"/>
    <w:rsid w:val="000F2325"/>
    <w:rsid w:val="000F4035"/>
    <w:rsid w:val="001001E3"/>
    <w:rsid w:val="00101E37"/>
    <w:rsid w:val="00113740"/>
    <w:rsid w:val="00115C06"/>
    <w:rsid w:val="00120194"/>
    <w:rsid w:val="0012054D"/>
    <w:rsid w:val="00124462"/>
    <w:rsid w:val="0012447A"/>
    <w:rsid w:val="00153ADE"/>
    <w:rsid w:val="001735B3"/>
    <w:rsid w:val="00174132"/>
    <w:rsid w:val="0018320B"/>
    <w:rsid w:val="00187AAA"/>
    <w:rsid w:val="001B0F5D"/>
    <w:rsid w:val="001F5A00"/>
    <w:rsid w:val="00203320"/>
    <w:rsid w:val="002143C4"/>
    <w:rsid w:val="00235AB9"/>
    <w:rsid w:val="002427C9"/>
    <w:rsid w:val="00246610"/>
    <w:rsid w:val="00252512"/>
    <w:rsid w:val="0025456B"/>
    <w:rsid w:val="00276728"/>
    <w:rsid w:val="00280F93"/>
    <w:rsid w:val="00297A94"/>
    <w:rsid w:val="002B0EAA"/>
    <w:rsid w:val="002B3446"/>
    <w:rsid w:val="002D39C9"/>
    <w:rsid w:val="002D695A"/>
    <w:rsid w:val="002E5FF2"/>
    <w:rsid w:val="002F7FE7"/>
    <w:rsid w:val="00301ACB"/>
    <w:rsid w:val="003137C9"/>
    <w:rsid w:val="0032372E"/>
    <w:rsid w:val="00325464"/>
    <w:rsid w:val="003268EC"/>
    <w:rsid w:val="00330998"/>
    <w:rsid w:val="00332826"/>
    <w:rsid w:val="003601C3"/>
    <w:rsid w:val="00361AC5"/>
    <w:rsid w:val="00362242"/>
    <w:rsid w:val="00371355"/>
    <w:rsid w:val="00372D1C"/>
    <w:rsid w:val="00384423"/>
    <w:rsid w:val="00394667"/>
    <w:rsid w:val="00397304"/>
    <w:rsid w:val="003B6F71"/>
    <w:rsid w:val="003C0571"/>
    <w:rsid w:val="003D0C0C"/>
    <w:rsid w:val="003D5199"/>
    <w:rsid w:val="003D7D84"/>
    <w:rsid w:val="003E0F22"/>
    <w:rsid w:val="003E26B3"/>
    <w:rsid w:val="0040026A"/>
    <w:rsid w:val="00404D9B"/>
    <w:rsid w:val="00411112"/>
    <w:rsid w:val="00415252"/>
    <w:rsid w:val="004176AF"/>
    <w:rsid w:val="0041789F"/>
    <w:rsid w:val="0042183E"/>
    <w:rsid w:val="00422A2B"/>
    <w:rsid w:val="004230C1"/>
    <w:rsid w:val="0044644C"/>
    <w:rsid w:val="00452B07"/>
    <w:rsid w:val="00456035"/>
    <w:rsid w:val="00464038"/>
    <w:rsid w:val="0047399C"/>
    <w:rsid w:val="00486CE9"/>
    <w:rsid w:val="00490313"/>
    <w:rsid w:val="0049634D"/>
    <w:rsid w:val="00497B3A"/>
    <w:rsid w:val="004B5F47"/>
    <w:rsid w:val="004C0C0F"/>
    <w:rsid w:val="004C438A"/>
    <w:rsid w:val="004C462E"/>
    <w:rsid w:val="004D103B"/>
    <w:rsid w:val="004D115A"/>
    <w:rsid w:val="004D7420"/>
    <w:rsid w:val="005025AE"/>
    <w:rsid w:val="0050458D"/>
    <w:rsid w:val="00504A9A"/>
    <w:rsid w:val="005220F8"/>
    <w:rsid w:val="005261C7"/>
    <w:rsid w:val="00532EBF"/>
    <w:rsid w:val="00533F50"/>
    <w:rsid w:val="005443D4"/>
    <w:rsid w:val="0054451C"/>
    <w:rsid w:val="00544983"/>
    <w:rsid w:val="00560191"/>
    <w:rsid w:val="0057579D"/>
    <w:rsid w:val="00575D30"/>
    <w:rsid w:val="00582656"/>
    <w:rsid w:val="00583D9C"/>
    <w:rsid w:val="00595EAF"/>
    <w:rsid w:val="005A1465"/>
    <w:rsid w:val="005A42EA"/>
    <w:rsid w:val="005B126E"/>
    <w:rsid w:val="005D236C"/>
    <w:rsid w:val="005E748D"/>
    <w:rsid w:val="00621E3D"/>
    <w:rsid w:val="00627C36"/>
    <w:rsid w:val="00641650"/>
    <w:rsid w:val="006442CB"/>
    <w:rsid w:val="00665CCD"/>
    <w:rsid w:val="00672F86"/>
    <w:rsid w:val="006908C9"/>
    <w:rsid w:val="00697ECF"/>
    <w:rsid w:val="006B3E59"/>
    <w:rsid w:val="006C0E32"/>
    <w:rsid w:val="006C5271"/>
    <w:rsid w:val="006D2BF7"/>
    <w:rsid w:val="006D5D93"/>
    <w:rsid w:val="006D65C0"/>
    <w:rsid w:val="006E4B59"/>
    <w:rsid w:val="006F4921"/>
    <w:rsid w:val="0070084D"/>
    <w:rsid w:val="00715812"/>
    <w:rsid w:val="00724865"/>
    <w:rsid w:val="007322AF"/>
    <w:rsid w:val="00732C5B"/>
    <w:rsid w:val="00735C20"/>
    <w:rsid w:val="00767369"/>
    <w:rsid w:val="0077394A"/>
    <w:rsid w:val="0077666C"/>
    <w:rsid w:val="0079047D"/>
    <w:rsid w:val="007B401C"/>
    <w:rsid w:val="007E2DB2"/>
    <w:rsid w:val="007E7E37"/>
    <w:rsid w:val="007F35E0"/>
    <w:rsid w:val="00802D42"/>
    <w:rsid w:val="0081264C"/>
    <w:rsid w:val="00824047"/>
    <w:rsid w:val="00834FFB"/>
    <w:rsid w:val="008362C2"/>
    <w:rsid w:val="00837C5E"/>
    <w:rsid w:val="00843C9A"/>
    <w:rsid w:val="0085102D"/>
    <w:rsid w:val="0085707E"/>
    <w:rsid w:val="00860B43"/>
    <w:rsid w:val="0086790C"/>
    <w:rsid w:val="00876EB4"/>
    <w:rsid w:val="00881474"/>
    <w:rsid w:val="0088490D"/>
    <w:rsid w:val="00897835"/>
    <w:rsid w:val="008B44F6"/>
    <w:rsid w:val="008C5420"/>
    <w:rsid w:val="008E19F8"/>
    <w:rsid w:val="008E55E6"/>
    <w:rsid w:val="008F2B69"/>
    <w:rsid w:val="008F5B77"/>
    <w:rsid w:val="008F5D4E"/>
    <w:rsid w:val="008F5ED6"/>
    <w:rsid w:val="0090421E"/>
    <w:rsid w:val="00913EA2"/>
    <w:rsid w:val="0092224F"/>
    <w:rsid w:val="00926E52"/>
    <w:rsid w:val="00936A5A"/>
    <w:rsid w:val="00947DE0"/>
    <w:rsid w:val="0096797A"/>
    <w:rsid w:val="00970068"/>
    <w:rsid w:val="00977734"/>
    <w:rsid w:val="00977D86"/>
    <w:rsid w:val="00977DBD"/>
    <w:rsid w:val="00993B32"/>
    <w:rsid w:val="009B27BF"/>
    <w:rsid w:val="009B5042"/>
    <w:rsid w:val="009C36F0"/>
    <w:rsid w:val="009D0A65"/>
    <w:rsid w:val="009D10AA"/>
    <w:rsid w:val="009D5742"/>
    <w:rsid w:val="009E7B9B"/>
    <w:rsid w:val="009F2BC6"/>
    <w:rsid w:val="00A05426"/>
    <w:rsid w:val="00A167B3"/>
    <w:rsid w:val="00A21AC4"/>
    <w:rsid w:val="00A244A1"/>
    <w:rsid w:val="00A33E33"/>
    <w:rsid w:val="00A51AE5"/>
    <w:rsid w:val="00A56864"/>
    <w:rsid w:val="00A670FF"/>
    <w:rsid w:val="00A77B7E"/>
    <w:rsid w:val="00A81918"/>
    <w:rsid w:val="00A86337"/>
    <w:rsid w:val="00AA5067"/>
    <w:rsid w:val="00AB4E6A"/>
    <w:rsid w:val="00AC1597"/>
    <w:rsid w:val="00AD2B0A"/>
    <w:rsid w:val="00AE7F57"/>
    <w:rsid w:val="00B145CF"/>
    <w:rsid w:val="00B151CC"/>
    <w:rsid w:val="00B172A4"/>
    <w:rsid w:val="00B24BF4"/>
    <w:rsid w:val="00B26279"/>
    <w:rsid w:val="00B2736A"/>
    <w:rsid w:val="00B440F6"/>
    <w:rsid w:val="00B51258"/>
    <w:rsid w:val="00B5643D"/>
    <w:rsid w:val="00B627AD"/>
    <w:rsid w:val="00B834A3"/>
    <w:rsid w:val="00B860DD"/>
    <w:rsid w:val="00B873A3"/>
    <w:rsid w:val="00B90680"/>
    <w:rsid w:val="00B92F26"/>
    <w:rsid w:val="00B933B9"/>
    <w:rsid w:val="00B95769"/>
    <w:rsid w:val="00BA4757"/>
    <w:rsid w:val="00BC267A"/>
    <w:rsid w:val="00BD08DD"/>
    <w:rsid w:val="00BD0F7D"/>
    <w:rsid w:val="00BE059F"/>
    <w:rsid w:val="00BE67D4"/>
    <w:rsid w:val="00BF3B7C"/>
    <w:rsid w:val="00C05D8E"/>
    <w:rsid w:val="00C07F3A"/>
    <w:rsid w:val="00C10FDA"/>
    <w:rsid w:val="00C1771A"/>
    <w:rsid w:val="00C20F2F"/>
    <w:rsid w:val="00C3058B"/>
    <w:rsid w:val="00C35FDB"/>
    <w:rsid w:val="00C66008"/>
    <w:rsid w:val="00C6633A"/>
    <w:rsid w:val="00C80CEF"/>
    <w:rsid w:val="00C80D54"/>
    <w:rsid w:val="00C82418"/>
    <w:rsid w:val="00C8580F"/>
    <w:rsid w:val="00CB0C40"/>
    <w:rsid w:val="00CC395E"/>
    <w:rsid w:val="00CC5E41"/>
    <w:rsid w:val="00CC6799"/>
    <w:rsid w:val="00CD79C6"/>
    <w:rsid w:val="00CF056D"/>
    <w:rsid w:val="00D009EF"/>
    <w:rsid w:val="00D07218"/>
    <w:rsid w:val="00D120F3"/>
    <w:rsid w:val="00D12F83"/>
    <w:rsid w:val="00D131D4"/>
    <w:rsid w:val="00D13FF4"/>
    <w:rsid w:val="00D344D8"/>
    <w:rsid w:val="00D429F0"/>
    <w:rsid w:val="00D478E7"/>
    <w:rsid w:val="00D5100B"/>
    <w:rsid w:val="00D518CA"/>
    <w:rsid w:val="00D651D6"/>
    <w:rsid w:val="00D67660"/>
    <w:rsid w:val="00D8004F"/>
    <w:rsid w:val="00D804A6"/>
    <w:rsid w:val="00D90468"/>
    <w:rsid w:val="00D90F67"/>
    <w:rsid w:val="00D973DE"/>
    <w:rsid w:val="00DD473B"/>
    <w:rsid w:val="00DD704C"/>
    <w:rsid w:val="00DE4087"/>
    <w:rsid w:val="00DF1160"/>
    <w:rsid w:val="00DF3A10"/>
    <w:rsid w:val="00E002A1"/>
    <w:rsid w:val="00E00360"/>
    <w:rsid w:val="00E06EBF"/>
    <w:rsid w:val="00E11CC7"/>
    <w:rsid w:val="00E12F82"/>
    <w:rsid w:val="00E1487F"/>
    <w:rsid w:val="00E30AEA"/>
    <w:rsid w:val="00E34A70"/>
    <w:rsid w:val="00E37AE0"/>
    <w:rsid w:val="00E4415D"/>
    <w:rsid w:val="00E50559"/>
    <w:rsid w:val="00E5297F"/>
    <w:rsid w:val="00E566F4"/>
    <w:rsid w:val="00E6708E"/>
    <w:rsid w:val="00E73184"/>
    <w:rsid w:val="00E740AD"/>
    <w:rsid w:val="00E8519C"/>
    <w:rsid w:val="00E94C0E"/>
    <w:rsid w:val="00EA47C8"/>
    <w:rsid w:val="00EB6E05"/>
    <w:rsid w:val="00EC0164"/>
    <w:rsid w:val="00ED7656"/>
    <w:rsid w:val="00EF2998"/>
    <w:rsid w:val="00F1721D"/>
    <w:rsid w:val="00F378F0"/>
    <w:rsid w:val="00F44848"/>
    <w:rsid w:val="00F52CFE"/>
    <w:rsid w:val="00F67613"/>
    <w:rsid w:val="00F70CF1"/>
    <w:rsid w:val="00F74893"/>
    <w:rsid w:val="00F87782"/>
    <w:rsid w:val="00F87B41"/>
    <w:rsid w:val="00F956AB"/>
    <w:rsid w:val="00FA3B48"/>
    <w:rsid w:val="00FA4229"/>
    <w:rsid w:val="00FC2DA0"/>
    <w:rsid w:val="00FD33F6"/>
    <w:rsid w:val="00FE1739"/>
    <w:rsid w:val="00FE4B5C"/>
    <w:rsid w:val="00FF2BC2"/>
    <w:rsid w:val="00FF7F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C6"/>
    <w:pPr>
      <w:spacing w:after="200" w:line="276"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3B7C"/>
    <w:pPr>
      <w:spacing w:before="100" w:beforeAutospacing="1" w:after="100" w:afterAutospacing="1" w:line="240" w:lineRule="auto"/>
    </w:pPr>
    <w:rPr>
      <w:rFonts w:ascii="Times New Roman" w:hAnsi="Times New Roman" w:cs="Times New Roman"/>
      <w:sz w:val="24"/>
      <w:szCs w:val="24"/>
    </w:rPr>
  </w:style>
  <w:style w:type="paragraph" w:styleId="Date">
    <w:name w:val="Date"/>
    <w:basedOn w:val="Normal"/>
    <w:next w:val="Normal"/>
    <w:link w:val="DateChar"/>
    <w:uiPriority w:val="99"/>
    <w:semiHidden/>
    <w:rsid w:val="00AE7F57"/>
  </w:style>
  <w:style w:type="character" w:customStyle="1" w:styleId="DateChar">
    <w:name w:val="Date Char"/>
    <w:basedOn w:val="DefaultParagraphFont"/>
    <w:link w:val="Date"/>
    <w:uiPriority w:val="99"/>
    <w:semiHidden/>
    <w:locked/>
    <w:rsid w:val="00AE7F57"/>
  </w:style>
  <w:style w:type="paragraph" w:styleId="ListParagraph">
    <w:name w:val="List Paragraph"/>
    <w:basedOn w:val="Normal"/>
    <w:uiPriority w:val="99"/>
    <w:qFormat/>
    <w:rsid w:val="00025081"/>
    <w:pPr>
      <w:ind w:left="720"/>
    </w:pPr>
  </w:style>
  <w:style w:type="table" w:styleId="TableGrid">
    <w:name w:val="Table Grid"/>
    <w:basedOn w:val="TableNormal"/>
    <w:uiPriority w:val="99"/>
    <w:rsid w:val="002143C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599984">
      <w:marLeft w:val="0"/>
      <w:marRight w:val="0"/>
      <w:marTop w:val="0"/>
      <w:marBottom w:val="0"/>
      <w:divBdr>
        <w:top w:val="none" w:sz="0" w:space="0" w:color="auto"/>
        <w:left w:val="none" w:sz="0" w:space="0" w:color="auto"/>
        <w:bottom w:val="none" w:sz="0" w:space="0" w:color="auto"/>
        <w:right w:val="none" w:sz="0" w:space="0" w:color="auto"/>
      </w:divBdr>
    </w:div>
    <w:div w:id="940599985">
      <w:marLeft w:val="0"/>
      <w:marRight w:val="0"/>
      <w:marTop w:val="0"/>
      <w:marBottom w:val="0"/>
      <w:divBdr>
        <w:top w:val="none" w:sz="0" w:space="0" w:color="auto"/>
        <w:left w:val="none" w:sz="0" w:space="0" w:color="auto"/>
        <w:bottom w:val="none" w:sz="0" w:space="0" w:color="auto"/>
        <w:right w:val="none" w:sz="0" w:space="0" w:color="auto"/>
      </w:divBdr>
    </w:div>
    <w:div w:id="940599986">
      <w:marLeft w:val="0"/>
      <w:marRight w:val="0"/>
      <w:marTop w:val="0"/>
      <w:marBottom w:val="0"/>
      <w:divBdr>
        <w:top w:val="none" w:sz="0" w:space="0" w:color="auto"/>
        <w:left w:val="none" w:sz="0" w:space="0" w:color="auto"/>
        <w:bottom w:val="none" w:sz="0" w:space="0" w:color="auto"/>
        <w:right w:val="none" w:sz="0" w:space="0" w:color="auto"/>
      </w:divBdr>
    </w:div>
    <w:div w:id="940599987">
      <w:marLeft w:val="0"/>
      <w:marRight w:val="0"/>
      <w:marTop w:val="0"/>
      <w:marBottom w:val="0"/>
      <w:divBdr>
        <w:top w:val="none" w:sz="0" w:space="0" w:color="auto"/>
        <w:left w:val="none" w:sz="0" w:space="0" w:color="auto"/>
        <w:bottom w:val="none" w:sz="0" w:space="0" w:color="auto"/>
        <w:right w:val="none" w:sz="0" w:space="0" w:color="auto"/>
      </w:divBdr>
    </w:div>
    <w:div w:id="940599988">
      <w:marLeft w:val="0"/>
      <w:marRight w:val="0"/>
      <w:marTop w:val="0"/>
      <w:marBottom w:val="0"/>
      <w:divBdr>
        <w:top w:val="none" w:sz="0" w:space="0" w:color="auto"/>
        <w:left w:val="none" w:sz="0" w:space="0" w:color="auto"/>
        <w:bottom w:val="none" w:sz="0" w:space="0" w:color="auto"/>
        <w:right w:val="none" w:sz="0" w:space="0" w:color="auto"/>
      </w:divBdr>
    </w:div>
    <w:div w:id="940599989">
      <w:marLeft w:val="0"/>
      <w:marRight w:val="0"/>
      <w:marTop w:val="0"/>
      <w:marBottom w:val="0"/>
      <w:divBdr>
        <w:top w:val="none" w:sz="0" w:space="0" w:color="auto"/>
        <w:left w:val="none" w:sz="0" w:space="0" w:color="auto"/>
        <w:bottom w:val="none" w:sz="0" w:space="0" w:color="auto"/>
        <w:right w:val="none" w:sz="0" w:space="0" w:color="auto"/>
      </w:divBdr>
    </w:div>
    <w:div w:id="940599990">
      <w:marLeft w:val="0"/>
      <w:marRight w:val="0"/>
      <w:marTop w:val="0"/>
      <w:marBottom w:val="0"/>
      <w:divBdr>
        <w:top w:val="none" w:sz="0" w:space="0" w:color="auto"/>
        <w:left w:val="none" w:sz="0" w:space="0" w:color="auto"/>
        <w:bottom w:val="none" w:sz="0" w:space="0" w:color="auto"/>
        <w:right w:val="none" w:sz="0" w:space="0" w:color="auto"/>
      </w:divBdr>
    </w:div>
    <w:div w:id="940599991">
      <w:marLeft w:val="0"/>
      <w:marRight w:val="0"/>
      <w:marTop w:val="0"/>
      <w:marBottom w:val="0"/>
      <w:divBdr>
        <w:top w:val="none" w:sz="0" w:space="0" w:color="auto"/>
        <w:left w:val="none" w:sz="0" w:space="0" w:color="auto"/>
        <w:bottom w:val="none" w:sz="0" w:space="0" w:color="auto"/>
        <w:right w:val="none" w:sz="0" w:space="0" w:color="auto"/>
      </w:divBdr>
    </w:div>
    <w:div w:id="940599992">
      <w:marLeft w:val="0"/>
      <w:marRight w:val="0"/>
      <w:marTop w:val="0"/>
      <w:marBottom w:val="0"/>
      <w:divBdr>
        <w:top w:val="none" w:sz="0" w:space="0" w:color="auto"/>
        <w:left w:val="none" w:sz="0" w:space="0" w:color="auto"/>
        <w:bottom w:val="none" w:sz="0" w:space="0" w:color="auto"/>
        <w:right w:val="none" w:sz="0" w:space="0" w:color="auto"/>
      </w:divBdr>
    </w:div>
    <w:div w:id="940599993">
      <w:marLeft w:val="0"/>
      <w:marRight w:val="0"/>
      <w:marTop w:val="0"/>
      <w:marBottom w:val="0"/>
      <w:divBdr>
        <w:top w:val="none" w:sz="0" w:space="0" w:color="auto"/>
        <w:left w:val="none" w:sz="0" w:space="0" w:color="auto"/>
        <w:bottom w:val="none" w:sz="0" w:space="0" w:color="auto"/>
        <w:right w:val="none" w:sz="0" w:space="0" w:color="auto"/>
      </w:divBdr>
    </w:div>
    <w:div w:id="940599994">
      <w:marLeft w:val="0"/>
      <w:marRight w:val="0"/>
      <w:marTop w:val="0"/>
      <w:marBottom w:val="0"/>
      <w:divBdr>
        <w:top w:val="none" w:sz="0" w:space="0" w:color="auto"/>
        <w:left w:val="none" w:sz="0" w:space="0" w:color="auto"/>
        <w:bottom w:val="none" w:sz="0" w:space="0" w:color="auto"/>
        <w:right w:val="none" w:sz="0" w:space="0" w:color="auto"/>
      </w:divBdr>
    </w:div>
    <w:div w:id="940599995">
      <w:marLeft w:val="0"/>
      <w:marRight w:val="0"/>
      <w:marTop w:val="0"/>
      <w:marBottom w:val="0"/>
      <w:divBdr>
        <w:top w:val="none" w:sz="0" w:space="0" w:color="auto"/>
        <w:left w:val="none" w:sz="0" w:space="0" w:color="auto"/>
        <w:bottom w:val="none" w:sz="0" w:space="0" w:color="auto"/>
        <w:right w:val="none" w:sz="0" w:space="0" w:color="auto"/>
      </w:divBdr>
    </w:div>
    <w:div w:id="940599996">
      <w:marLeft w:val="0"/>
      <w:marRight w:val="0"/>
      <w:marTop w:val="0"/>
      <w:marBottom w:val="0"/>
      <w:divBdr>
        <w:top w:val="none" w:sz="0" w:space="0" w:color="auto"/>
        <w:left w:val="none" w:sz="0" w:space="0" w:color="auto"/>
        <w:bottom w:val="none" w:sz="0" w:space="0" w:color="auto"/>
        <w:right w:val="none" w:sz="0" w:space="0" w:color="auto"/>
      </w:divBdr>
    </w:div>
    <w:div w:id="940599997">
      <w:marLeft w:val="0"/>
      <w:marRight w:val="0"/>
      <w:marTop w:val="0"/>
      <w:marBottom w:val="0"/>
      <w:divBdr>
        <w:top w:val="none" w:sz="0" w:space="0" w:color="auto"/>
        <w:left w:val="none" w:sz="0" w:space="0" w:color="auto"/>
        <w:bottom w:val="none" w:sz="0" w:space="0" w:color="auto"/>
        <w:right w:val="none" w:sz="0" w:space="0" w:color="auto"/>
      </w:divBdr>
    </w:div>
    <w:div w:id="940599998">
      <w:marLeft w:val="0"/>
      <w:marRight w:val="0"/>
      <w:marTop w:val="0"/>
      <w:marBottom w:val="0"/>
      <w:divBdr>
        <w:top w:val="none" w:sz="0" w:space="0" w:color="auto"/>
        <w:left w:val="none" w:sz="0" w:space="0" w:color="auto"/>
        <w:bottom w:val="none" w:sz="0" w:space="0" w:color="auto"/>
        <w:right w:val="none" w:sz="0" w:space="0" w:color="auto"/>
      </w:divBdr>
    </w:div>
    <w:div w:id="940599999">
      <w:marLeft w:val="0"/>
      <w:marRight w:val="0"/>
      <w:marTop w:val="0"/>
      <w:marBottom w:val="0"/>
      <w:divBdr>
        <w:top w:val="none" w:sz="0" w:space="0" w:color="auto"/>
        <w:left w:val="none" w:sz="0" w:space="0" w:color="auto"/>
        <w:bottom w:val="none" w:sz="0" w:space="0" w:color="auto"/>
        <w:right w:val="none" w:sz="0" w:space="0" w:color="auto"/>
      </w:divBdr>
    </w:div>
    <w:div w:id="940600000">
      <w:marLeft w:val="0"/>
      <w:marRight w:val="0"/>
      <w:marTop w:val="0"/>
      <w:marBottom w:val="0"/>
      <w:divBdr>
        <w:top w:val="none" w:sz="0" w:space="0" w:color="auto"/>
        <w:left w:val="none" w:sz="0" w:space="0" w:color="auto"/>
        <w:bottom w:val="none" w:sz="0" w:space="0" w:color="auto"/>
        <w:right w:val="none" w:sz="0" w:space="0" w:color="auto"/>
      </w:divBdr>
    </w:div>
    <w:div w:id="940600001">
      <w:marLeft w:val="0"/>
      <w:marRight w:val="0"/>
      <w:marTop w:val="0"/>
      <w:marBottom w:val="0"/>
      <w:divBdr>
        <w:top w:val="none" w:sz="0" w:space="0" w:color="auto"/>
        <w:left w:val="none" w:sz="0" w:space="0" w:color="auto"/>
        <w:bottom w:val="none" w:sz="0" w:space="0" w:color="auto"/>
        <w:right w:val="none" w:sz="0" w:space="0" w:color="auto"/>
      </w:divBdr>
    </w:div>
    <w:div w:id="940600002">
      <w:marLeft w:val="0"/>
      <w:marRight w:val="0"/>
      <w:marTop w:val="0"/>
      <w:marBottom w:val="0"/>
      <w:divBdr>
        <w:top w:val="none" w:sz="0" w:space="0" w:color="auto"/>
        <w:left w:val="none" w:sz="0" w:space="0" w:color="auto"/>
        <w:bottom w:val="none" w:sz="0" w:space="0" w:color="auto"/>
        <w:right w:val="none" w:sz="0" w:space="0" w:color="auto"/>
      </w:divBdr>
    </w:div>
    <w:div w:id="940600003">
      <w:marLeft w:val="0"/>
      <w:marRight w:val="0"/>
      <w:marTop w:val="0"/>
      <w:marBottom w:val="0"/>
      <w:divBdr>
        <w:top w:val="none" w:sz="0" w:space="0" w:color="auto"/>
        <w:left w:val="none" w:sz="0" w:space="0" w:color="auto"/>
        <w:bottom w:val="none" w:sz="0" w:space="0" w:color="auto"/>
        <w:right w:val="none" w:sz="0" w:space="0" w:color="auto"/>
      </w:divBdr>
    </w:div>
    <w:div w:id="940600004">
      <w:marLeft w:val="0"/>
      <w:marRight w:val="0"/>
      <w:marTop w:val="0"/>
      <w:marBottom w:val="0"/>
      <w:divBdr>
        <w:top w:val="none" w:sz="0" w:space="0" w:color="auto"/>
        <w:left w:val="none" w:sz="0" w:space="0" w:color="auto"/>
        <w:bottom w:val="none" w:sz="0" w:space="0" w:color="auto"/>
        <w:right w:val="none" w:sz="0" w:space="0" w:color="auto"/>
      </w:divBdr>
    </w:div>
    <w:div w:id="940600005">
      <w:marLeft w:val="0"/>
      <w:marRight w:val="0"/>
      <w:marTop w:val="0"/>
      <w:marBottom w:val="0"/>
      <w:divBdr>
        <w:top w:val="none" w:sz="0" w:space="0" w:color="auto"/>
        <w:left w:val="none" w:sz="0" w:space="0" w:color="auto"/>
        <w:bottom w:val="none" w:sz="0" w:space="0" w:color="auto"/>
        <w:right w:val="none" w:sz="0" w:space="0" w:color="auto"/>
      </w:divBdr>
    </w:div>
    <w:div w:id="940600006">
      <w:marLeft w:val="0"/>
      <w:marRight w:val="0"/>
      <w:marTop w:val="0"/>
      <w:marBottom w:val="0"/>
      <w:divBdr>
        <w:top w:val="none" w:sz="0" w:space="0" w:color="auto"/>
        <w:left w:val="none" w:sz="0" w:space="0" w:color="auto"/>
        <w:bottom w:val="none" w:sz="0" w:space="0" w:color="auto"/>
        <w:right w:val="none" w:sz="0" w:space="0" w:color="auto"/>
      </w:divBdr>
    </w:div>
    <w:div w:id="940600007">
      <w:marLeft w:val="0"/>
      <w:marRight w:val="0"/>
      <w:marTop w:val="0"/>
      <w:marBottom w:val="0"/>
      <w:divBdr>
        <w:top w:val="none" w:sz="0" w:space="0" w:color="auto"/>
        <w:left w:val="none" w:sz="0" w:space="0" w:color="auto"/>
        <w:bottom w:val="none" w:sz="0" w:space="0" w:color="auto"/>
        <w:right w:val="none" w:sz="0" w:space="0" w:color="auto"/>
      </w:divBdr>
    </w:div>
    <w:div w:id="940600008">
      <w:marLeft w:val="0"/>
      <w:marRight w:val="0"/>
      <w:marTop w:val="0"/>
      <w:marBottom w:val="0"/>
      <w:divBdr>
        <w:top w:val="none" w:sz="0" w:space="0" w:color="auto"/>
        <w:left w:val="none" w:sz="0" w:space="0" w:color="auto"/>
        <w:bottom w:val="none" w:sz="0" w:space="0" w:color="auto"/>
        <w:right w:val="none" w:sz="0" w:space="0" w:color="auto"/>
      </w:divBdr>
    </w:div>
    <w:div w:id="940600009">
      <w:marLeft w:val="0"/>
      <w:marRight w:val="0"/>
      <w:marTop w:val="0"/>
      <w:marBottom w:val="0"/>
      <w:divBdr>
        <w:top w:val="none" w:sz="0" w:space="0" w:color="auto"/>
        <w:left w:val="none" w:sz="0" w:space="0" w:color="auto"/>
        <w:bottom w:val="none" w:sz="0" w:space="0" w:color="auto"/>
        <w:right w:val="none" w:sz="0" w:space="0" w:color="auto"/>
      </w:divBdr>
    </w:div>
    <w:div w:id="940600010">
      <w:marLeft w:val="0"/>
      <w:marRight w:val="0"/>
      <w:marTop w:val="0"/>
      <w:marBottom w:val="0"/>
      <w:divBdr>
        <w:top w:val="none" w:sz="0" w:space="0" w:color="auto"/>
        <w:left w:val="none" w:sz="0" w:space="0" w:color="auto"/>
        <w:bottom w:val="none" w:sz="0" w:space="0" w:color="auto"/>
        <w:right w:val="none" w:sz="0" w:space="0" w:color="auto"/>
      </w:divBdr>
    </w:div>
    <w:div w:id="940600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1931</Words>
  <Characters>11010</Characters>
  <Application>Microsoft Office Outlook</Application>
  <DocSecurity>0</DocSecurity>
  <Lines>0</Lines>
  <Paragraphs>0</Paragraphs>
  <ScaleCrop>false</ScaleCrop>
  <Company>K. Seng Seng Corp Bhd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FINANCIAL REPORT FOR THE FOURTH QUARTER ENDED 31DECEMBER 2010</dc:title>
  <dc:subject/>
  <dc:creator>Tan Lian Choon</dc:creator>
  <cp:keywords/>
  <dc:description/>
  <cp:lastModifiedBy> </cp:lastModifiedBy>
  <cp:revision>3</cp:revision>
  <cp:lastPrinted>2011-02-24T07:24:00Z</cp:lastPrinted>
  <dcterms:created xsi:type="dcterms:W3CDTF">2011-02-24T07:58:00Z</dcterms:created>
  <dcterms:modified xsi:type="dcterms:W3CDTF">2011-02-24T09:46:00Z</dcterms:modified>
</cp:coreProperties>
</file>